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eastAsia="仿宋_GB2312" w:cs="宋体"/>
          <w:sz w:val="32"/>
          <w:szCs w:val="22"/>
        </w:rPr>
      </w:pPr>
      <w:r>
        <w:rPr>
          <w:rFonts w:hint="eastAsia" w:eastAsia="仿宋_GB2312" w:cs="宋体"/>
          <w:sz w:val="32"/>
          <w:szCs w:val="22"/>
        </w:rPr>
        <w:t>附件2</w:t>
      </w:r>
    </w:p>
    <w:p>
      <w:pPr>
        <w:snapToGrid w:val="0"/>
        <w:spacing w:line="360" w:lineRule="auto"/>
        <w:ind w:firstLine="1365" w:firstLineChars="650"/>
        <w:rPr>
          <w:rFonts w:ascii="黑体" w:hAnsi="黑体" w:eastAsia="黑体"/>
          <w:bCs/>
          <w:color w:val="000000"/>
          <w:sz w:val="28"/>
          <w:szCs w:val="28"/>
        </w:rPr>
      </w:pPr>
      <w:r>
        <mc:AlternateContent>
          <mc:Choice Requires="wps">
            <w:drawing>
              <wp:anchor distT="45720" distB="45720" distL="114300" distR="114300" simplePos="0" relativeHeight="251659264" behindDoc="1" locked="0" layoutInCell="1" allowOverlap="1">
                <wp:simplePos x="0" y="0"/>
                <wp:positionH relativeFrom="column">
                  <wp:posOffset>3171825</wp:posOffset>
                </wp:positionH>
                <wp:positionV relativeFrom="paragraph">
                  <wp:posOffset>-182880</wp:posOffset>
                </wp:positionV>
                <wp:extent cx="1720850" cy="769620"/>
                <wp:effectExtent l="0" t="0" r="0" b="0"/>
                <wp:wrapThrough wrapText="bothSides">
                  <wp:wrapPolygon>
                    <wp:start x="0" y="0"/>
                    <wp:lineTo x="0" y="20851"/>
                    <wp:lineTo x="21281" y="20851"/>
                    <wp:lineTo x="21281" y="0"/>
                    <wp:lineTo x="0" y="0"/>
                  </wp:wrapPolygon>
                </wp:wrapThrough>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720850" cy="769620"/>
                        </a:xfrm>
                        <a:prstGeom prst="rect">
                          <a:avLst/>
                        </a:prstGeom>
                        <a:solidFill>
                          <a:srgbClr val="FFFFFF"/>
                        </a:solidFill>
                        <a:ln>
                          <a:noFill/>
                        </a:ln>
                      </wps:spPr>
                      <wps:txbx>
                        <w:txbxContent>
                          <w:p>
                            <w:pPr>
                              <w:rPr>
                                <w:sz w:val="84"/>
                                <w:szCs w:val="84"/>
                              </w:rPr>
                            </w:pPr>
                            <w:r>
                              <w:rPr>
                                <w:sz w:val="84"/>
                                <w:szCs w:val="84"/>
                              </w:rPr>
                              <w:t>CBDA</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75pt;margin-top:-14.4pt;height:60.6pt;width:135.5pt;mso-wrap-distance-left:9pt;mso-wrap-distance-right:9pt;z-index:-251657216;mso-width-relative:page;mso-height-relative:page;" fillcolor="#FFFFFF" filled="t" stroked="f" coordsize="21600,21600" wrapcoords="0 0 0 20851 21281 20851 21281 0 0 0" o:gfxdata="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N+8t2AAAAAoBAAAPAAAAAAAAAAEAIAAAACIAAABkcnMvZG93bnJldi54bWxQSwECFAAU&#10;AAAACACHTuJAWuEhIioCAAA+BAAADgAAAAAAAAABACAAAAAnAQAAZHJzL2Uyb0RvYy54bWxQSwUG&#10;AAAAAAYABgBZAQAAwwUAAAAA&#10;">
                <v:fill on="t" focussize="0,0"/>
                <v:stroke on="f"/>
                <v:imagedata o:title=""/>
                <o:lock v:ext="edit" aspectratio="f"/>
                <v:textbox>
                  <w:txbxContent>
                    <w:p>
                      <w:pPr>
                        <w:rPr>
                          <w:sz w:val="84"/>
                          <w:szCs w:val="84"/>
                        </w:rPr>
                      </w:pPr>
                      <w:r>
                        <w:rPr>
                          <w:sz w:val="84"/>
                          <w:szCs w:val="84"/>
                        </w:rPr>
                        <w:t>CBDA</w:t>
                      </w:r>
                    </w:p>
                  </w:txbxContent>
                </v:textbox>
                <w10:wrap type="through"/>
              </v:shape>
            </w:pict>
          </mc:Fallback>
        </mc:AlternateContent>
      </w:r>
      <w:r>
        <w:rPr>
          <w:rFonts w:hint="eastAsia" w:ascii="黑体" w:hAnsi="黑体" w:eastAsia="黑体"/>
          <w:bCs/>
          <w:color w:val="000000"/>
          <w:sz w:val="28"/>
          <w:szCs w:val="28"/>
        </w:rPr>
        <w:t>建筑装饰行业工程建设</w:t>
      </w:r>
    </w:p>
    <w:p>
      <w:pPr>
        <w:snapToGrid w:val="0"/>
        <w:spacing w:line="360" w:lineRule="auto"/>
        <w:ind w:firstLine="1400" w:firstLineChars="500"/>
        <w:rPr>
          <w:rFonts w:ascii="黑体" w:hAnsi="黑体" w:eastAsia="黑体"/>
          <w:bCs/>
          <w:color w:val="000000"/>
          <w:sz w:val="28"/>
          <w:szCs w:val="28"/>
        </w:rPr>
      </w:pPr>
      <w:r>
        <w:rPr>
          <w:rFonts w:hint="eastAsia" w:ascii="黑体" w:hAnsi="黑体" w:eastAsia="黑体"/>
          <w:bCs/>
          <w:color w:val="000000"/>
          <w:sz w:val="28"/>
          <w:szCs w:val="28"/>
        </w:rPr>
        <w:t>中国建筑装饰协会标准</w:t>
      </w:r>
    </w:p>
    <w:p>
      <w:pPr>
        <w:snapToGrid w:val="0"/>
        <w:spacing w:line="360" w:lineRule="auto"/>
        <w:rPr>
          <w:rFonts w:ascii="宋体"/>
          <w:color w:val="000000"/>
          <w:sz w:val="24"/>
          <w:szCs w:val="24"/>
        </w:rPr>
      </w:pPr>
    </w:p>
    <w:p>
      <w:pPr>
        <w:wordWrap w:val="0"/>
        <w:adjustRightInd w:val="0"/>
        <w:snapToGrid w:val="0"/>
        <w:ind w:right="721" w:firstLine="241" w:firstLineChars="100"/>
        <w:jc w:val="center"/>
        <w:rPr>
          <w:rFonts w:ascii="宋体"/>
          <w:color w:val="000000"/>
          <w:sz w:val="24"/>
          <w:szCs w:val="24"/>
        </w:rPr>
      </w:pPr>
      <w:r>
        <w:rPr>
          <w:rFonts w:hint="eastAsia"/>
          <w:b/>
          <w:color w:val="000000"/>
          <w:sz w:val="24"/>
          <w:szCs w:val="24"/>
        </w:rPr>
        <w:t xml:space="preserve">                                            T/CBDA</w:t>
      </w:r>
      <w:r>
        <w:rPr>
          <w:b/>
          <w:color w:val="000000"/>
          <w:sz w:val="15"/>
          <w:szCs w:val="15"/>
        </w:rPr>
        <w:t xml:space="preserve">  </w:t>
      </w:r>
      <w:r>
        <w:rPr>
          <w:b/>
          <w:color w:val="000000"/>
          <w:sz w:val="24"/>
          <w:szCs w:val="24"/>
        </w:rPr>
        <w:t>12</w:t>
      </w:r>
      <w:r>
        <w:rPr>
          <w:rFonts w:hint="eastAsia"/>
          <w:b/>
          <w:color w:val="000000"/>
          <w:sz w:val="24"/>
          <w:szCs w:val="24"/>
        </w:rPr>
        <w:t>-2018</w:t>
      </w:r>
    </w:p>
    <w:p>
      <w:pPr>
        <w:adjustRightInd w:val="0"/>
        <w:snapToGrid w:val="0"/>
        <w:rPr>
          <w:rFonts w:ascii="宋体"/>
          <w:color w:val="000000"/>
          <w:sz w:val="24"/>
          <w:szCs w:val="24"/>
        </w:rPr>
      </w:pPr>
      <w:r>
        <w:rPr>
          <w:rFonts w:hint="eastAsia" w:ascii="宋体"/>
          <w:color w:val="000000"/>
          <w:sz w:val="24"/>
          <w:szCs w:val="24"/>
        </w:rPr>
        <w:t>_____________________________________________________________________</w:t>
      </w: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jc w:val="center"/>
        <w:rPr>
          <w:rFonts w:ascii="宋体"/>
          <w:b/>
          <w:color w:val="000000"/>
          <w:sz w:val="44"/>
          <w:szCs w:val="44"/>
        </w:rPr>
      </w:pPr>
      <w:r>
        <w:rPr>
          <w:rFonts w:hint="eastAsia" w:ascii="宋体"/>
          <w:b/>
          <w:color w:val="000000"/>
          <w:sz w:val="44"/>
          <w:szCs w:val="44"/>
        </w:rPr>
        <w:t>中国建筑装饰行业企业主体</w:t>
      </w:r>
    </w:p>
    <w:p>
      <w:pPr>
        <w:spacing w:line="360" w:lineRule="auto"/>
        <w:jc w:val="center"/>
        <w:rPr>
          <w:rFonts w:ascii="宋体"/>
          <w:b/>
          <w:color w:val="000000"/>
          <w:sz w:val="44"/>
          <w:szCs w:val="44"/>
        </w:rPr>
      </w:pPr>
      <w:r>
        <w:rPr>
          <w:rFonts w:hint="eastAsia" w:ascii="宋体"/>
          <w:b/>
          <w:color w:val="000000"/>
          <w:sz w:val="44"/>
          <w:szCs w:val="44"/>
        </w:rPr>
        <w:t>信用评价标准</w:t>
      </w:r>
    </w:p>
    <w:p>
      <w:pPr>
        <w:snapToGrid w:val="0"/>
        <w:spacing w:line="300" w:lineRule="auto"/>
        <w:jc w:val="center"/>
        <w:rPr>
          <w:rFonts w:ascii="宋体"/>
          <w:b/>
          <w:color w:val="000000"/>
          <w:sz w:val="10"/>
          <w:szCs w:val="10"/>
        </w:rPr>
      </w:pPr>
    </w:p>
    <w:p>
      <w:pPr>
        <w:spacing w:line="360" w:lineRule="auto"/>
        <w:jc w:val="center"/>
        <w:rPr>
          <w:b/>
          <w:color w:val="000000"/>
          <w:sz w:val="24"/>
          <w:szCs w:val="24"/>
        </w:rPr>
      </w:pPr>
      <w:r>
        <w:rPr>
          <w:b/>
          <w:color w:val="000000"/>
          <w:sz w:val="24"/>
          <w:szCs w:val="24"/>
        </w:rPr>
        <w:t>Trustworthiness assessment norms for Chinese</w:t>
      </w:r>
    </w:p>
    <w:p>
      <w:pPr>
        <w:spacing w:line="360" w:lineRule="auto"/>
        <w:jc w:val="center"/>
        <w:rPr>
          <w:b/>
          <w:color w:val="000000"/>
          <w:sz w:val="24"/>
          <w:szCs w:val="24"/>
        </w:rPr>
      </w:pPr>
      <w:r>
        <w:rPr>
          <w:b/>
          <w:color w:val="000000"/>
          <w:sz w:val="24"/>
          <w:szCs w:val="24"/>
        </w:rPr>
        <w:t>building decoration enterprises</w:t>
      </w: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jc w:val="center"/>
        <w:rPr>
          <w:rFonts w:ascii="宋体"/>
          <w:b/>
          <w:bCs/>
          <w:color w:val="000000"/>
          <w:sz w:val="44"/>
          <w:szCs w:val="44"/>
        </w:rPr>
      </w:pPr>
    </w:p>
    <w:p>
      <w:pPr>
        <w:spacing w:line="360" w:lineRule="auto"/>
        <w:ind w:left="480"/>
        <w:rPr>
          <w:rFonts w:ascii="宋体"/>
          <w:color w:val="000000"/>
          <w:sz w:val="24"/>
          <w:szCs w:val="24"/>
        </w:rPr>
      </w:pPr>
    </w:p>
    <w:p>
      <w:pPr>
        <w:spacing w:line="360" w:lineRule="auto"/>
        <w:ind w:left="480"/>
        <w:rPr>
          <w:rFonts w:ascii="宋体"/>
          <w:color w:val="000000"/>
          <w:sz w:val="24"/>
          <w:szCs w:val="24"/>
        </w:rPr>
      </w:pPr>
    </w:p>
    <w:p>
      <w:pPr>
        <w:spacing w:line="360" w:lineRule="auto"/>
        <w:ind w:left="480"/>
        <w:rPr>
          <w:rFonts w:ascii="宋体"/>
          <w:color w:val="000000"/>
          <w:sz w:val="24"/>
          <w:szCs w:val="24"/>
        </w:rPr>
      </w:pPr>
    </w:p>
    <w:p>
      <w:pPr>
        <w:adjustRightInd w:val="0"/>
        <w:snapToGrid w:val="0"/>
        <w:ind w:left="1"/>
        <w:rPr>
          <w:rFonts w:ascii="宋体"/>
          <w:color w:val="000000"/>
          <w:sz w:val="28"/>
          <w:szCs w:val="28"/>
        </w:rPr>
      </w:pPr>
      <w:r>
        <w:rPr>
          <w:rFonts w:ascii="宋体" w:hAnsi="宋体" w:cs="宋体"/>
          <w:color w:val="000000"/>
          <w:sz w:val="28"/>
          <w:szCs w:val="28"/>
        </w:rPr>
        <w:t>2018-3</w:t>
      </w:r>
      <w:r>
        <w:rPr>
          <w:rFonts w:ascii="宋体" w:cs="宋体"/>
          <w:color w:val="000000"/>
          <w:sz w:val="28"/>
          <w:szCs w:val="28"/>
        </w:rPr>
        <w:t>-</w:t>
      </w:r>
      <w:r>
        <w:rPr>
          <w:rFonts w:ascii="宋体" w:hAnsi="宋体" w:cs="宋体"/>
          <w:color w:val="000000"/>
          <w:sz w:val="28"/>
          <w:szCs w:val="28"/>
        </w:rPr>
        <w:t>28</w:t>
      </w:r>
      <w:r>
        <w:rPr>
          <w:rFonts w:hint="eastAsia" w:ascii="宋体" w:hAnsi="宋体" w:cs="宋体"/>
          <w:color w:val="000000"/>
          <w:sz w:val="28"/>
          <w:szCs w:val="28"/>
        </w:rPr>
        <w:t>日发布</w:t>
      </w:r>
      <w:r>
        <w:rPr>
          <w:rFonts w:ascii="宋体" w:hAnsi="宋体" w:cs="宋体"/>
          <w:color w:val="000000"/>
          <w:sz w:val="28"/>
          <w:szCs w:val="28"/>
        </w:rPr>
        <w:t xml:space="preserve">                            2018</w:t>
      </w:r>
      <w:r>
        <w:rPr>
          <w:rFonts w:ascii="宋体" w:cs="宋体"/>
          <w:color w:val="000000"/>
          <w:sz w:val="28"/>
          <w:szCs w:val="28"/>
        </w:rPr>
        <w:t>-</w:t>
      </w:r>
      <w:r>
        <w:rPr>
          <w:rFonts w:ascii="宋体" w:hAnsi="宋体" w:cs="宋体"/>
          <w:color w:val="000000"/>
          <w:sz w:val="28"/>
          <w:szCs w:val="28"/>
        </w:rPr>
        <w:t>07</w:t>
      </w:r>
      <w:r>
        <w:rPr>
          <w:rFonts w:ascii="宋体" w:cs="宋体"/>
          <w:color w:val="000000"/>
          <w:sz w:val="28"/>
          <w:szCs w:val="28"/>
        </w:rPr>
        <w:t>-</w:t>
      </w:r>
      <w:r>
        <w:rPr>
          <w:rFonts w:ascii="宋体" w:hAnsi="宋体" w:cs="宋体"/>
          <w:color w:val="000000"/>
          <w:sz w:val="28"/>
          <w:szCs w:val="28"/>
        </w:rPr>
        <w:t>01</w:t>
      </w:r>
      <w:r>
        <w:rPr>
          <w:rFonts w:hint="eastAsia" w:ascii="宋体" w:hAnsi="宋体" w:cs="宋体"/>
          <w:color w:val="000000"/>
          <w:sz w:val="28"/>
          <w:szCs w:val="28"/>
        </w:rPr>
        <w:t>实施</w:t>
      </w:r>
    </w:p>
    <w:p>
      <w:pPr>
        <w:adjustRightInd w:val="0"/>
        <w:snapToGrid w:val="0"/>
        <w:rPr>
          <w:rFonts w:ascii="宋体" w:hAnsi="宋体" w:cs="宋体"/>
          <w:color w:val="000000"/>
          <w:sz w:val="24"/>
          <w:szCs w:val="24"/>
          <w:u w:val="single"/>
        </w:rPr>
      </w:pPr>
      <w:r>
        <w:rPr>
          <w:rFonts w:ascii="宋体" w:hAnsi="宋体" w:cs="宋体"/>
          <w:color w:val="000000"/>
          <w:sz w:val="24"/>
          <w:szCs w:val="24"/>
          <w:u w:val="single"/>
        </w:rPr>
        <w:t xml:space="preserve">                                                                       </w:t>
      </w:r>
    </w:p>
    <w:p>
      <w:pPr>
        <w:adjustRightInd w:val="0"/>
        <w:snapToGrid w:val="0"/>
        <w:spacing w:line="300" w:lineRule="auto"/>
        <w:jc w:val="center"/>
        <w:rPr>
          <w:rFonts w:ascii="宋体" w:hAnsi="宋体" w:cs="宋体"/>
          <w:b/>
          <w:bCs/>
          <w:color w:val="000000"/>
          <w:sz w:val="15"/>
          <w:szCs w:val="15"/>
        </w:rPr>
      </w:pPr>
    </w:p>
    <w:p>
      <w:pPr>
        <w:spacing w:line="360" w:lineRule="auto"/>
        <w:ind w:left="1"/>
        <w:jc w:val="center"/>
        <w:rPr>
          <w:rFonts w:ascii="宋体"/>
          <w:b/>
          <w:bCs/>
          <w:color w:val="000000"/>
          <w:sz w:val="32"/>
          <w:szCs w:val="32"/>
        </w:rPr>
      </w:pPr>
      <w:r>
        <w:rPr>
          <w:rFonts w:hint="eastAsia" w:ascii="宋体" w:hAnsi="宋体" w:cs="宋体"/>
          <w:b/>
          <w:bCs/>
          <w:color w:val="000000"/>
          <w:sz w:val="32"/>
          <w:szCs w:val="32"/>
        </w:rPr>
        <w:t>中 国 建 筑 装 饰 协 会</w:t>
      </w:r>
      <w:r>
        <w:rPr>
          <w:rFonts w:ascii="宋体" w:hAnsi="宋体" w:cs="宋体"/>
          <w:b/>
          <w:bCs/>
          <w:color w:val="000000"/>
          <w:sz w:val="32"/>
          <w:szCs w:val="32"/>
        </w:rPr>
        <w:t xml:space="preserve">    </w:t>
      </w:r>
      <w:r>
        <w:rPr>
          <w:rFonts w:hint="eastAsia" w:ascii="宋体" w:hAnsi="宋体" w:cs="宋体"/>
          <w:b/>
          <w:bCs/>
          <w:color w:val="000000"/>
          <w:sz w:val="32"/>
          <w:szCs w:val="32"/>
        </w:rPr>
        <w:t>发 布</w:t>
      </w:r>
    </w:p>
    <w:p>
      <w:pPr>
        <w:spacing w:line="360" w:lineRule="auto"/>
        <w:ind w:left="480"/>
        <w:rPr>
          <w:rFonts w:ascii="宋体"/>
          <w:color w:val="000000"/>
        </w:rPr>
      </w:pPr>
    </w:p>
    <w:p>
      <w:pPr>
        <w:spacing w:line="360" w:lineRule="auto"/>
        <w:ind w:left="480"/>
        <w:rPr>
          <w:rFonts w:ascii="宋体"/>
          <w:color w:val="000000"/>
        </w:rPr>
      </w:pPr>
    </w:p>
    <w:p>
      <w:pPr>
        <w:widowControl/>
        <w:shd w:val="clear" w:color="FFFFFF" w:fill="FFFFFF"/>
        <w:spacing w:before="156" w:beforeLines="50" w:after="156" w:afterLines="50" w:line="360" w:lineRule="auto"/>
        <w:jc w:val="center"/>
        <w:outlineLvl w:val="0"/>
        <w:rPr>
          <w:rFonts w:ascii="宋体"/>
          <w:color w:val="000000"/>
          <w:kern w:val="0"/>
          <w:sz w:val="32"/>
          <w:szCs w:val="32"/>
        </w:rPr>
      </w:pPr>
      <w:r>
        <w:rPr>
          <w:rFonts w:hint="eastAsia" w:ascii="宋体" w:hAnsi="宋体" w:cs="宋体"/>
          <w:color w:val="000000"/>
          <w:kern w:val="0"/>
          <w:sz w:val="32"/>
          <w:szCs w:val="32"/>
        </w:rPr>
        <w:t>前</w:t>
      </w:r>
      <w:r>
        <w:rPr>
          <w:rFonts w:ascii="宋体" w:hAnsi="宋体" w:cs="宋体"/>
          <w:color w:val="000000"/>
          <w:kern w:val="0"/>
          <w:sz w:val="32"/>
          <w:szCs w:val="32"/>
        </w:rPr>
        <w:t xml:space="preserve">  </w:t>
      </w:r>
      <w:r>
        <w:rPr>
          <w:rFonts w:hint="eastAsia" w:ascii="宋体" w:hAnsi="宋体" w:cs="宋体"/>
          <w:color w:val="000000"/>
          <w:kern w:val="0"/>
          <w:sz w:val="32"/>
          <w:szCs w:val="32"/>
        </w:rPr>
        <w:t>言</w:t>
      </w:r>
    </w:p>
    <w:p>
      <w:pPr>
        <w:spacing w:line="360" w:lineRule="auto"/>
        <w:ind w:firstLine="420" w:firstLineChars="200"/>
        <w:rPr>
          <w:rFonts w:ascii="宋体"/>
          <w:color w:val="000000"/>
          <w:kern w:val="0"/>
        </w:rPr>
      </w:pPr>
      <w:r>
        <w:rPr>
          <w:rFonts w:hint="eastAsia" w:ascii="宋体" w:hAnsi="宋体" w:cs="宋体"/>
          <w:color w:val="000000"/>
          <w:kern w:val="0"/>
        </w:rPr>
        <w:t>本标准由中国建筑装饰协会提出并归口。</w:t>
      </w:r>
    </w:p>
    <w:p>
      <w:pPr>
        <w:spacing w:line="360" w:lineRule="auto"/>
        <w:ind w:firstLine="420" w:firstLineChars="200"/>
        <w:rPr>
          <w:rFonts w:ascii="宋体"/>
          <w:color w:val="000000"/>
          <w:kern w:val="0"/>
        </w:rPr>
      </w:pPr>
      <w:r>
        <w:rPr>
          <w:rFonts w:hint="eastAsia" w:ascii="宋体" w:hAnsi="宋体" w:cs="宋体"/>
          <w:color w:val="000000"/>
          <w:kern w:val="0"/>
        </w:rPr>
        <w:t>本标准共分</w:t>
      </w:r>
      <w:r>
        <w:rPr>
          <w:rFonts w:ascii="宋体" w:hAnsi="宋体" w:cs="宋体"/>
          <w:color w:val="000000"/>
          <w:kern w:val="0"/>
        </w:rPr>
        <w:t>9</w:t>
      </w:r>
      <w:r>
        <w:rPr>
          <w:rFonts w:hint="eastAsia" w:ascii="宋体" w:hAnsi="宋体" w:cs="宋体"/>
          <w:color w:val="000000"/>
          <w:kern w:val="0"/>
        </w:rPr>
        <w:t>章和</w:t>
      </w:r>
      <w:r>
        <w:rPr>
          <w:rFonts w:ascii="宋体" w:hAnsi="宋体" w:cs="宋体"/>
          <w:color w:val="000000"/>
          <w:kern w:val="0"/>
        </w:rPr>
        <w:t>1</w:t>
      </w:r>
      <w:r>
        <w:rPr>
          <w:rFonts w:hint="eastAsia" w:ascii="宋体" w:hAnsi="宋体" w:cs="宋体"/>
          <w:color w:val="000000"/>
          <w:kern w:val="0"/>
        </w:rPr>
        <w:t>个附录，主要内容包括：本标准适用范围、规范性引用文件、术语和定义、信用评价基本规定、信用评价方法、中国建筑装饰行业企业主体信用等级符号及含义、信用评价的指标项及权重分配规则、信用评价报告、评价结果发布等。</w:t>
      </w:r>
    </w:p>
    <w:p>
      <w:pPr>
        <w:spacing w:line="360" w:lineRule="auto"/>
        <w:ind w:firstLine="420" w:firstLineChars="200"/>
        <w:rPr>
          <w:rFonts w:ascii="宋体"/>
          <w:color w:val="000000"/>
          <w:kern w:val="0"/>
        </w:rPr>
      </w:pPr>
      <w:r>
        <w:rPr>
          <w:rFonts w:hint="eastAsia" w:ascii="宋体" w:hAnsi="宋体" w:cs="宋体"/>
          <w:color w:val="000000"/>
          <w:kern w:val="0"/>
        </w:rPr>
        <w:t>本标准的附录</w:t>
      </w:r>
      <w:r>
        <w:rPr>
          <w:rFonts w:ascii="宋体" w:hAnsi="宋体" w:cs="宋体"/>
          <w:color w:val="000000"/>
          <w:kern w:val="0"/>
        </w:rPr>
        <w:t>A</w:t>
      </w:r>
      <w:r>
        <w:rPr>
          <w:rFonts w:hint="eastAsia" w:ascii="宋体" w:hAnsi="宋体" w:cs="宋体"/>
          <w:color w:val="000000"/>
          <w:kern w:val="0"/>
        </w:rPr>
        <w:t>为规范性附录。</w:t>
      </w:r>
    </w:p>
    <w:p>
      <w:pPr>
        <w:spacing w:line="360" w:lineRule="auto"/>
        <w:ind w:firstLine="420"/>
        <w:rPr>
          <w:rFonts w:ascii="宋体"/>
          <w:color w:val="000000"/>
        </w:rPr>
      </w:pPr>
      <w:r>
        <w:rPr>
          <w:rFonts w:hint="eastAsia" w:ascii="宋体" w:hAnsi="宋体" w:cs="宋体"/>
          <w:color w:val="000000"/>
        </w:rPr>
        <w:t>在执行过程中的意见和建议，请及时反馈给中国建筑装饰协会。</w:t>
      </w:r>
    </w:p>
    <w:p>
      <w:pPr>
        <w:spacing w:line="360" w:lineRule="auto"/>
        <w:ind w:firstLine="420"/>
        <w:rPr>
          <w:rFonts w:ascii="宋体"/>
        </w:rPr>
      </w:pPr>
      <w:r>
        <w:rPr>
          <w:rFonts w:hint="eastAsia" w:ascii="宋体" w:hAnsi="宋体" w:cs="宋体"/>
        </w:rPr>
        <w:t>地址：北京市海淀区三里河路</w:t>
      </w:r>
      <w:r>
        <w:rPr>
          <w:rFonts w:ascii="宋体" w:hAnsi="宋体" w:cs="宋体"/>
        </w:rPr>
        <w:t>21</w:t>
      </w:r>
      <w:r>
        <w:rPr>
          <w:rFonts w:hint="eastAsia" w:ascii="宋体" w:hAnsi="宋体" w:cs="宋体"/>
        </w:rPr>
        <w:t>号甘家口大厦写字楼</w:t>
      </w:r>
      <w:r>
        <w:rPr>
          <w:rFonts w:ascii="宋体" w:hAnsi="宋体" w:cs="宋体"/>
        </w:rPr>
        <w:t>10</w:t>
      </w:r>
      <w:r>
        <w:rPr>
          <w:rFonts w:hint="eastAsia" w:ascii="宋体" w:hAnsi="宋体" w:cs="宋体"/>
        </w:rPr>
        <w:t>层，邮政编码</w:t>
      </w:r>
      <w:r>
        <w:rPr>
          <w:rFonts w:ascii="宋体" w:hAnsi="宋体" w:cs="宋体"/>
        </w:rPr>
        <w:t>100037</w:t>
      </w:r>
      <w:r>
        <w:rPr>
          <w:rFonts w:hint="eastAsia" w:ascii="宋体" w:hAnsi="宋体" w:cs="宋体"/>
        </w:rPr>
        <w:t>。</w:t>
      </w:r>
    </w:p>
    <w:p>
      <w:pPr>
        <w:spacing w:line="360" w:lineRule="auto"/>
        <w:ind w:firstLine="422" w:firstLineChars="200"/>
        <w:rPr>
          <w:rFonts w:ascii="宋体"/>
          <w:kern w:val="0"/>
        </w:rPr>
      </w:pPr>
      <w:r>
        <w:rPr>
          <w:rFonts w:hint="eastAsia" w:ascii="宋体" w:hAnsi="宋体" w:cs="宋体"/>
          <w:b/>
          <w:bCs/>
        </w:rPr>
        <w:t>本标准主编单位</w:t>
      </w:r>
      <w:r>
        <w:rPr>
          <w:rFonts w:hint="eastAsia" w:ascii="宋体" w:hAnsi="宋体" w:cs="宋体"/>
        </w:rPr>
        <w:t>：苏州金螳螂建筑装饰股份有限公司。</w:t>
      </w:r>
    </w:p>
    <w:p>
      <w:pPr>
        <w:spacing w:line="360" w:lineRule="auto"/>
        <w:ind w:firstLine="422" w:firstLineChars="200"/>
        <w:rPr>
          <w:rFonts w:ascii="宋体"/>
        </w:rPr>
      </w:pPr>
      <w:r>
        <w:rPr>
          <w:rFonts w:hint="eastAsia" w:ascii="宋体" w:hAnsi="宋体" w:cs="宋体"/>
          <w:b/>
          <w:bCs/>
        </w:rPr>
        <w:t>本标准参编单位</w:t>
      </w:r>
      <w:r>
        <w:rPr>
          <w:rFonts w:hint="eastAsia" w:ascii="宋体" w:hAnsi="宋体" w:cs="宋体"/>
        </w:rPr>
        <w:t>：浙江省建筑装饰行业协会、东亚装饰股份有限公司、北京清尚建筑装饰工程有限公司、中建深圳装饰有限公司、神州长城国际工程有限公司、深圳市卓艺装饰设计工程有限公司、深圳市科源建设集团有限公司、冠鲁建设股份有限公司、北京信构信用管理有限公司。</w:t>
      </w:r>
    </w:p>
    <w:p>
      <w:pPr>
        <w:spacing w:line="360" w:lineRule="auto"/>
        <w:ind w:firstLine="422" w:firstLineChars="200"/>
        <w:rPr>
          <w:rFonts w:ascii="宋体"/>
          <w:color w:val="000000"/>
        </w:rPr>
      </w:pPr>
      <w:r>
        <w:rPr>
          <w:rFonts w:hint="eastAsia" w:ascii="宋体" w:hAnsi="宋体" w:cs="宋体"/>
          <w:b/>
          <w:bCs/>
        </w:rPr>
        <w:t>本标准主要起草人员</w:t>
      </w:r>
      <w:r>
        <w:rPr>
          <w:rFonts w:hint="eastAsia" w:ascii="宋体" w:hAnsi="宋体" w:cs="宋体"/>
        </w:rPr>
        <w:t>：孙毅、焦武祥、贾华琴、李海琳、王刚、龚宁、王中军、王惠英、</w:t>
      </w:r>
      <w:r>
        <w:rPr>
          <w:rFonts w:hint="eastAsia" w:ascii="宋体" w:hAnsi="宋体" w:cs="宋体"/>
          <w:color w:val="000000"/>
        </w:rPr>
        <w:t>庄东、何理、黄小芳。</w:t>
      </w:r>
    </w:p>
    <w:p>
      <w:pPr>
        <w:spacing w:line="360" w:lineRule="auto"/>
        <w:ind w:firstLine="422" w:firstLineChars="200"/>
        <w:rPr>
          <w:rFonts w:ascii="宋体"/>
          <w:color w:val="000000"/>
          <w:lang w:val="zh-CN"/>
        </w:rPr>
      </w:pPr>
      <w:r>
        <w:rPr>
          <w:rFonts w:ascii="宋体" w:hAnsi="宋体" w:cs="宋体"/>
          <w:b/>
          <w:bCs/>
          <w:color w:val="000000"/>
        </w:rPr>
        <w:t xml:space="preserve"> </w:t>
      </w: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rPr>
          <w:rFonts w:ascii="宋体"/>
          <w:color w:val="000000"/>
          <w:lang w:val="zh-CN"/>
        </w:rPr>
      </w:pPr>
    </w:p>
    <w:p>
      <w:pPr>
        <w:keepNext/>
        <w:keepLines/>
        <w:widowControl/>
        <w:spacing w:before="480" w:line="276" w:lineRule="auto"/>
        <w:jc w:val="center"/>
        <w:rPr>
          <w:rFonts w:ascii="宋体" w:hAnsi="Cambria"/>
          <w:b/>
          <w:bCs/>
          <w:color w:val="000000"/>
          <w:kern w:val="0"/>
          <w:sz w:val="32"/>
          <w:szCs w:val="32"/>
        </w:rPr>
      </w:pPr>
      <w:r>
        <w:rPr>
          <w:rFonts w:hint="eastAsia" w:ascii="宋体" w:hAnsi="宋体" w:cs="宋体"/>
          <w:b/>
          <w:bCs/>
          <w:color w:val="000000"/>
          <w:kern w:val="0"/>
          <w:sz w:val="32"/>
          <w:szCs w:val="32"/>
          <w:lang w:val="zh-CN"/>
        </w:rPr>
        <w:t>目</w:t>
      </w:r>
      <w:r>
        <w:rPr>
          <w:rFonts w:ascii="宋体" w:hAnsi="宋体" w:cs="宋体"/>
          <w:b/>
          <w:bCs/>
          <w:color w:val="000000"/>
          <w:kern w:val="0"/>
          <w:sz w:val="32"/>
          <w:szCs w:val="32"/>
          <w:lang w:val="zh-CN"/>
        </w:rPr>
        <w:t xml:space="preserve">  </w:t>
      </w:r>
      <w:r>
        <w:rPr>
          <w:rFonts w:hint="eastAsia" w:ascii="宋体" w:hAnsi="宋体" w:cs="宋体"/>
          <w:b/>
          <w:bCs/>
          <w:color w:val="000000"/>
          <w:kern w:val="0"/>
          <w:sz w:val="32"/>
          <w:szCs w:val="32"/>
          <w:lang w:val="zh-CN"/>
        </w:rPr>
        <w:t>次</w:t>
      </w:r>
    </w:p>
    <w:p>
      <w:pPr>
        <w:tabs>
          <w:tab w:val="right" w:leader="dot" w:pos="8296"/>
        </w:tabs>
        <w:rPr>
          <w:rFonts w:ascii="宋体" w:hAnsi="Calibri"/>
          <w:color w:val="000000"/>
        </w:rPr>
      </w:pPr>
      <w:r>
        <w:rPr>
          <w:rFonts w:ascii="宋体" w:hAnsi="宋体" w:cs="宋体"/>
          <w:color w:val="000000"/>
          <w:kern w:val="0"/>
          <w:sz w:val="22"/>
          <w:szCs w:val="22"/>
        </w:rPr>
        <w:fldChar w:fldCharType="begin"/>
      </w:r>
      <w:r>
        <w:rPr>
          <w:rFonts w:ascii="宋体" w:hAnsi="宋体" w:cs="宋体"/>
          <w:color w:val="000000"/>
          <w:szCs w:val="22"/>
        </w:rPr>
        <w:instrText xml:space="preserve"> TOC \o "1-3" \h \z \u </w:instrText>
      </w:r>
      <w:r>
        <w:rPr>
          <w:rFonts w:ascii="宋体" w:hAnsi="宋体" w:cs="宋体"/>
          <w:color w:val="000000"/>
          <w:kern w:val="0"/>
          <w:sz w:val="22"/>
          <w:szCs w:val="22"/>
        </w:rPr>
        <w:fldChar w:fldCharType="separate"/>
      </w:r>
      <w:r>
        <w:fldChar w:fldCharType="begin"/>
      </w:r>
      <w:r>
        <w:instrText xml:space="preserve"> HYPERLINK \l "_Toc475950065" </w:instrText>
      </w:r>
      <w:r>
        <w:fldChar w:fldCharType="separate"/>
      </w:r>
      <w:r>
        <w:rPr>
          <w:rFonts w:hint="eastAsia" w:ascii="宋体" w:hAnsi="宋体" w:cs="宋体"/>
          <w:color w:val="000000"/>
          <w:szCs w:val="22"/>
          <w:u w:val="single"/>
        </w:rPr>
        <w:t>前</w:t>
      </w:r>
      <w:r>
        <w:rPr>
          <w:rFonts w:ascii="宋体" w:hAnsi="宋体" w:cs="宋体"/>
          <w:color w:val="000000"/>
          <w:szCs w:val="22"/>
          <w:u w:val="single"/>
        </w:rPr>
        <w:t xml:space="preserve">  </w:t>
      </w:r>
      <w:r>
        <w:rPr>
          <w:rFonts w:hint="eastAsia" w:ascii="宋体" w:hAnsi="宋体" w:cs="宋体"/>
          <w:color w:val="000000"/>
          <w:szCs w:val="22"/>
          <w:u w:val="single"/>
        </w:rPr>
        <w:t>言</w:t>
      </w:r>
      <w:r>
        <w:rPr>
          <w:rFonts w:ascii="宋体" w:hAnsi="Calibri"/>
          <w:color w:val="000000"/>
          <w:szCs w:val="22"/>
        </w:rPr>
        <w:tab/>
      </w:r>
      <w:r>
        <w:rPr>
          <w:rFonts w:ascii="宋体" w:hAnsi="宋体" w:cs="宋体"/>
          <w:color w:val="000000"/>
          <w:szCs w:val="22"/>
        </w:rPr>
        <w:t>1</w:t>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"_Toc475950066" </w:instrText>
      </w:r>
      <w:r>
        <w:fldChar w:fldCharType="separate"/>
      </w:r>
      <w:r>
        <w:rPr>
          <w:rFonts w:ascii="宋体" w:hAnsi="宋体" w:cs="宋体"/>
          <w:color w:val="000000"/>
          <w:szCs w:val="22"/>
          <w:u w:val="single"/>
        </w:rPr>
        <w:t xml:space="preserve">1  </w:t>
      </w:r>
      <w:r>
        <w:rPr>
          <w:rFonts w:hint="eastAsia" w:ascii="宋体" w:hAnsi="宋体" w:cs="宋体"/>
          <w:color w:val="000000"/>
          <w:szCs w:val="22"/>
          <w:u w:val="single"/>
        </w:rPr>
        <w:t>范围</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_Toc475950066 \h </w:instrText>
      </w:r>
      <w:r>
        <w:rPr>
          <w:rFonts w:ascii="宋体" w:hAnsi="宋体" w:cs="宋体"/>
          <w:color w:val="000000"/>
          <w:szCs w:val="22"/>
        </w:rPr>
        <w:fldChar w:fldCharType="separate"/>
      </w:r>
      <w:r>
        <w:rPr>
          <w:rFonts w:ascii="宋体" w:hAnsi="宋体" w:cs="宋体"/>
          <w:color w:val="000000"/>
          <w:szCs w:val="22"/>
        </w:rPr>
        <w:t>13</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"_Toc475950067" </w:instrText>
      </w:r>
      <w:r>
        <w:fldChar w:fldCharType="separate"/>
      </w:r>
      <w:r>
        <w:rPr>
          <w:rFonts w:ascii="宋体" w:hAnsi="宋体" w:cs="宋体"/>
          <w:color w:val="000000"/>
          <w:szCs w:val="22"/>
          <w:u w:val="single"/>
        </w:rPr>
        <w:t xml:space="preserve">2  </w:t>
      </w:r>
      <w:r>
        <w:rPr>
          <w:rFonts w:hint="eastAsia" w:ascii="宋体" w:hAnsi="宋体" w:cs="宋体"/>
          <w:color w:val="000000"/>
          <w:szCs w:val="22"/>
          <w:u w:val="single"/>
        </w:rPr>
        <w:t>规范性引用文件</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_Toc475950067 \h </w:instrText>
      </w:r>
      <w:r>
        <w:rPr>
          <w:rFonts w:ascii="宋体" w:hAnsi="宋体" w:cs="宋体"/>
          <w:color w:val="000000"/>
          <w:szCs w:val="22"/>
        </w:rPr>
        <w:fldChar w:fldCharType="separate"/>
      </w:r>
      <w:r>
        <w:rPr>
          <w:rFonts w:ascii="宋体" w:hAnsi="宋体" w:cs="宋体"/>
          <w:color w:val="000000"/>
          <w:szCs w:val="22"/>
        </w:rPr>
        <w:t>13</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"_Toc475950068" </w:instrText>
      </w:r>
      <w:r>
        <w:fldChar w:fldCharType="separate"/>
      </w:r>
      <w:r>
        <w:rPr>
          <w:rFonts w:ascii="宋体" w:hAnsi="宋体" w:cs="宋体"/>
          <w:color w:val="000000"/>
          <w:szCs w:val="22"/>
          <w:u w:val="single"/>
        </w:rPr>
        <w:t xml:space="preserve">3  </w:t>
      </w:r>
      <w:r>
        <w:rPr>
          <w:rFonts w:hint="eastAsia" w:ascii="宋体" w:hAnsi="宋体" w:cs="宋体"/>
          <w:color w:val="000000"/>
          <w:szCs w:val="22"/>
          <w:u w:val="single"/>
        </w:rPr>
        <w:t>术语和定义</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_Toc475950068 \h </w:instrText>
      </w:r>
      <w:r>
        <w:rPr>
          <w:rFonts w:ascii="宋体" w:hAnsi="宋体" w:cs="宋体"/>
          <w:color w:val="000000"/>
          <w:szCs w:val="22"/>
        </w:rPr>
        <w:fldChar w:fldCharType="separate"/>
      </w:r>
      <w:r>
        <w:rPr>
          <w:rFonts w:ascii="宋体" w:hAnsi="宋体" w:cs="宋体"/>
          <w:color w:val="000000"/>
          <w:szCs w:val="22"/>
        </w:rPr>
        <w:t>13</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"_Toc475950069" </w:instrText>
      </w:r>
      <w:r>
        <w:fldChar w:fldCharType="separate"/>
      </w:r>
      <w:r>
        <w:rPr>
          <w:rFonts w:ascii="宋体" w:hAnsi="宋体" w:cs="宋体"/>
          <w:color w:val="000000"/>
          <w:szCs w:val="22"/>
          <w:u w:val="single"/>
        </w:rPr>
        <w:t>4</w:t>
      </w:r>
      <w:r>
        <w:rPr>
          <w:rFonts w:hint="eastAsia" w:ascii="宋体" w:hAnsi="宋体" w:cs="宋体"/>
          <w:color w:val="000000"/>
          <w:szCs w:val="22"/>
          <w:u w:val="single"/>
        </w:rPr>
        <w:t xml:space="preserve"> </w:t>
      </w:r>
      <w:r>
        <w:rPr>
          <w:rFonts w:ascii="宋体" w:hAnsi="宋体" w:cs="宋体"/>
          <w:color w:val="000000"/>
          <w:szCs w:val="22"/>
          <w:u w:val="single"/>
        </w:rPr>
        <w:t xml:space="preserve"> </w:t>
      </w:r>
      <w:r>
        <w:rPr>
          <w:rFonts w:hint="eastAsia" w:ascii="宋体" w:hAnsi="宋体" w:cs="宋体"/>
          <w:color w:val="000000"/>
          <w:szCs w:val="22"/>
          <w:u w:val="single"/>
        </w:rPr>
        <w:t>信用评价基本规定</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_Toc475950069 \h </w:instrText>
      </w:r>
      <w:r>
        <w:rPr>
          <w:rFonts w:ascii="宋体" w:hAnsi="宋体" w:cs="宋体"/>
          <w:color w:val="000000"/>
          <w:szCs w:val="22"/>
        </w:rPr>
        <w:fldChar w:fldCharType="separate"/>
      </w:r>
      <w:r>
        <w:rPr>
          <w:rFonts w:ascii="宋体" w:hAnsi="宋体" w:cs="宋体"/>
          <w:color w:val="000000"/>
          <w:szCs w:val="22"/>
        </w:rPr>
        <w:t>14</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"_Toc475950070" </w:instrText>
      </w:r>
      <w:r>
        <w:fldChar w:fldCharType="separate"/>
      </w:r>
      <w:r>
        <w:rPr>
          <w:rFonts w:ascii="宋体" w:hAnsi="宋体" w:cs="宋体"/>
          <w:color w:val="000000"/>
          <w:szCs w:val="22"/>
          <w:u w:val="single"/>
        </w:rPr>
        <w:t>5</w:t>
      </w:r>
      <w:r>
        <w:rPr>
          <w:rFonts w:hint="eastAsia" w:ascii="宋体" w:hAnsi="宋体" w:cs="宋体"/>
          <w:color w:val="000000"/>
          <w:szCs w:val="22"/>
          <w:u w:val="single"/>
        </w:rPr>
        <w:t xml:space="preserve"> </w:t>
      </w:r>
      <w:r>
        <w:rPr>
          <w:rFonts w:ascii="宋体" w:hAnsi="宋体" w:cs="宋体"/>
          <w:color w:val="000000"/>
          <w:szCs w:val="22"/>
          <w:u w:val="single"/>
        </w:rPr>
        <w:t xml:space="preserve"> </w:t>
      </w:r>
      <w:r>
        <w:rPr>
          <w:rFonts w:hint="eastAsia" w:ascii="宋体" w:hAnsi="宋体" w:cs="宋体"/>
          <w:color w:val="000000"/>
          <w:szCs w:val="22"/>
          <w:u w:val="single"/>
        </w:rPr>
        <w:t>信用评价方法</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_Toc475950070 \h </w:instrText>
      </w:r>
      <w:r>
        <w:rPr>
          <w:rFonts w:ascii="宋体" w:hAnsi="宋体" w:cs="宋体"/>
          <w:color w:val="000000"/>
          <w:szCs w:val="22"/>
        </w:rPr>
        <w:fldChar w:fldCharType="separate"/>
      </w:r>
      <w:r>
        <w:rPr>
          <w:rFonts w:ascii="宋体" w:hAnsi="宋体" w:cs="宋体"/>
          <w:color w:val="000000"/>
          <w:szCs w:val="22"/>
        </w:rPr>
        <w:t>16</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"_Toc475950071" </w:instrText>
      </w:r>
      <w:r>
        <w:fldChar w:fldCharType="separate"/>
      </w:r>
      <w:r>
        <w:rPr>
          <w:rFonts w:ascii="宋体" w:hAnsi="宋体" w:cs="宋体"/>
          <w:color w:val="000000"/>
          <w:szCs w:val="22"/>
          <w:u w:val="single"/>
        </w:rPr>
        <w:t>6</w:t>
      </w:r>
      <w:r>
        <w:rPr>
          <w:rFonts w:hint="eastAsia" w:ascii="宋体" w:hAnsi="宋体" w:cs="宋体"/>
          <w:color w:val="000000"/>
          <w:szCs w:val="22"/>
          <w:u w:val="single"/>
        </w:rPr>
        <w:t xml:space="preserve"> </w:t>
      </w:r>
      <w:r>
        <w:rPr>
          <w:rFonts w:ascii="宋体" w:hAnsi="宋体" w:cs="宋体"/>
          <w:color w:val="000000"/>
          <w:szCs w:val="22"/>
          <w:u w:val="single"/>
        </w:rPr>
        <w:t xml:space="preserve"> </w:t>
      </w:r>
      <w:r>
        <w:rPr>
          <w:rFonts w:hint="eastAsia" w:ascii="宋体" w:hAnsi="宋体" w:cs="宋体"/>
          <w:color w:val="000000"/>
          <w:szCs w:val="22"/>
          <w:u w:val="single"/>
        </w:rPr>
        <w:t>中国建筑装饰行业企业主体信用等级符号及含义</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_Toc475950071 \h </w:instrText>
      </w:r>
      <w:r>
        <w:rPr>
          <w:rFonts w:ascii="宋体" w:hAnsi="宋体" w:cs="宋体"/>
          <w:color w:val="000000"/>
          <w:szCs w:val="22"/>
        </w:rPr>
        <w:fldChar w:fldCharType="separate"/>
      </w:r>
      <w:r>
        <w:rPr>
          <w:rFonts w:ascii="宋体" w:hAnsi="宋体" w:cs="宋体"/>
          <w:color w:val="000000"/>
          <w:szCs w:val="22"/>
        </w:rPr>
        <w:t>18</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"_Toc475950072" </w:instrText>
      </w:r>
      <w:r>
        <w:fldChar w:fldCharType="separate"/>
      </w:r>
      <w:r>
        <w:rPr>
          <w:rFonts w:ascii="宋体" w:hAnsi="宋体" w:cs="宋体"/>
          <w:color w:val="000000"/>
          <w:szCs w:val="22"/>
          <w:u w:val="single"/>
        </w:rPr>
        <w:t>7</w:t>
      </w:r>
      <w:r>
        <w:rPr>
          <w:rFonts w:hint="eastAsia" w:ascii="宋体" w:hAnsi="宋体" w:cs="宋体"/>
          <w:color w:val="000000"/>
          <w:szCs w:val="22"/>
          <w:u w:val="single"/>
        </w:rPr>
        <w:t xml:space="preserve"> </w:t>
      </w:r>
      <w:r>
        <w:rPr>
          <w:rFonts w:ascii="宋体" w:hAnsi="宋体" w:cs="宋体"/>
          <w:color w:val="000000"/>
          <w:szCs w:val="22"/>
          <w:u w:val="single"/>
        </w:rPr>
        <w:t xml:space="preserve"> </w:t>
      </w:r>
      <w:r>
        <w:rPr>
          <w:rFonts w:hint="eastAsia" w:ascii="宋体" w:hAnsi="宋体" w:cs="宋体"/>
          <w:color w:val="000000"/>
          <w:szCs w:val="22"/>
          <w:u w:val="single"/>
        </w:rPr>
        <w:t>信用评价的指标项及权重分配规则</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_Toc475950072 \h </w:instrText>
      </w:r>
      <w:r>
        <w:rPr>
          <w:rFonts w:ascii="宋体" w:hAnsi="宋体" w:cs="宋体"/>
          <w:color w:val="000000"/>
          <w:szCs w:val="22"/>
        </w:rPr>
        <w:fldChar w:fldCharType="separate"/>
      </w:r>
      <w:r>
        <w:rPr>
          <w:rFonts w:ascii="宋体" w:hAnsi="宋体" w:cs="宋体"/>
          <w:color w:val="000000"/>
          <w:szCs w:val="22"/>
        </w:rPr>
        <w:t>19</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"_Toc475950073" </w:instrText>
      </w:r>
      <w:r>
        <w:fldChar w:fldCharType="separate"/>
      </w:r>
      <w:r>
        <w:rPr>
          <w:rFonts w:ascii="宋体" w:hAnsi="宋体" w:cs="宋体"/>
          <w:color w:val="000000"/>
          <w:szCs w:val="22"/>
          <w:u w:val="single"/>
        </w:rPr>
        <w:t>8</w:t>
      </w:r>
      <w:r>
        <w:rPr>
          <w:rFonts w:hint="eastAsia" w:ascii="宋体" w:hAnsi="宋体" w:cs="宋体"/>
          <w:color w:val="000000"/>
          <w:szCs w:val="22"/>
          <w:u w:val="single"/>
        </w:rPr>
        <w:t xml:space="preserve"> </w:t>
      </w:r>
      <w:r>
        <w:rPr>
          <w:rFonts w:ascii="宋体" w:hAnsi="宋体" w:cs="宋体"/>
          <w:color w:val="000000"/>
          <w:szCs w:val="22"/>
          <w:u w:val="single"/>
        </w:rPr>
        <w:t xml:space="preserve"> </w:t>
      </w:r>
      <w:r>
        <w:rPr>
          <w:rFonts w:hint="eastAsia" w:ascii="宋体" w:hAnsi="宋体" w:cs="宋体"/>
          <w:color w:val="000000"/>
          <w:szCs w:val="22"/>
          <w:u w:val="single"/>
        </w:rPr>
        <w:t>信用评价报告</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_Toc475950073 \h </w:instrText>
      </w:r>
      <w:r>
        <w:rPr>
          <w:rFonts w:ascii="宋体" w:hAnsi="宋体" w:cs="宋体"/>
          <w:color w:val="000000"/>
          <w:szCs w:val="22"/>
        </w:rPr>
        <w:fldChar w:fldCharType="separate"/>
      </w:r>
      <w:r>
        <w:rPr>
          <w:rFonts w:ascii="宋体" w:hAnsi="宋体" w:cs="宋体"/>
          <w:color w:val="000000"/>
          <w:szCs w:val="22"/>
        </w:rPr>
        <w:t>19</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"_Toc475950074" </w:instrText>
      </w:r>
      <w:r>
        <w:fldChar w:fldCharType="separate"/>
      </w:r>
      <w:r>
        <w:rPr>
          <w:rFonts w:ascii="宋体" w:hAnsi="宋体" w:cs="宋体"/>
          <w:color w:val="000000"/>
          <w:szCs w:val="22"/>
          <w:u w:val="single"/>
        </w:rPr>
        <w:t>9</w:t>
      </w:r>
      <w:r>
        <w:rPr>
          <w:rFonts w:hint="eastAsia" w:ascii="宋体" w:hAnsi="宋体" w:cs="宋体"/>
          <w:color w:val="000000"/>
          <w:szCs w:val="22"/>
          <w:u w:val="single"/>
        </w:rPr>
        <w:t xml:space="preserve"> </w:t>
      </w:r>
      <w:r>
        <w:rPr>
          <w:rFonts w:ascii="宋体" w:hAnsi="宋体" w:cs="宋体"/>
          <w:color w:val="000000"/>
          <w:szCs w:val="22"/>
          <w:u w:val="single"/>
        </w:rPr>
        <w:t xml:space="preserve"> </w:t>
      </w:r>
      <w:r>
        <w:rPr>
          <w:rFonts w:hint="eastAsia" w:ascii="宋体" w:hAnsi="宋体" w:cs="宋体"/>
          <w:color w:val="000000"/>
          <w:szCs w:val="22"/>
          <w:u w:val="single"/>
        </w:rPr>
        <w:t>评价结果发布</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_Toc475950074 \h </w:instrText>
      </w:r>
      <w:r>
        <w:rPr>
          <w:rFonts w:ascii="宋体" w:hAnsi="宋体" w:cs="宋体"/>
          <w:color w:val="000000"/>
          <w:szCs w:val="22"/>
        </w:rPr>
        <w:fldChar w:fldCharType="separate"/>
      </w:r>
      <w:r>
        <w:rPr>
          <w:rFonts w:ascii="宋体" w:hAnsi="宋体" w:cs="宋体"/>
          <w:color w:val="000000"/>
          <w:szCs w:val="22"/>
        </w:rPr>
        <w:t>20</w:t>
      </w:r>
      <w:r>
        <w:rPr>
          <w:rFonts w:ascii="宋体" w:hAnsi="宋体" w:cs="宋体"/>
          <w:color w:val="000000"/>
          <w:szCs w:val="22"/>
        </w:rPr>
        <w:fldChar w:fldCharType="end"/>
      </w:r>
      <w:r>
        <w:rPr>
          <w:rFonts w:ascii="宋体" w:hAnsi="宋体" w:cs="宋体"/>
          <w:color w:val="000000"/>
          <w:szCs w:val="22"/>
        </w:rPr>
        <w:fldChar w:fldCharType="end"/>
      </w:r>
    </w:p>
    <w:p>
      <w:pPr>
        <w:tabs>
          <w:tab w:val="right" w:leader="dot" w:pos="8296"/>
        </w:tabs>
        <w:rPr>
          <w:rFonts w:ascii="宋体" w:hAnsi="Calibri"/>
          <w:color w:val="000000"/>
        </w:rPr>
      </w:pPr>
      <w:r>
        <w:fldChar w:fldCharType="begin"/>
      </w:r>
      <w:r>
        <w:instrText xml:space="preserve"> HYPERLINK \l "_Toc475950075" </w:instrText>
      </w:r>
      <w:r>
        <w:fldChar w:fldCharType="separate"/>
      </w:r>
      <w:r>
        <w:rPr>
          <w:rFonts w:hint="eastAsia" w:ascii="宋体" w:hAnsi="宋体" w:cs="宋体"/>
          <w:color w:val="000000"/>
          <w:szCs w:val="22"/>
          <w:u w:val="single"/>
        </w:rPr>
        <w:t>附录</w:t>
      </w:r>
      <w:r>
        <w:rPr>
          <w:rFonts w:ascii="宋体" w:hAnsi="宋体" w:cs="宋体"/>
          <w:color w:val="000000"/>
          <w:szCs w:val="22"/>
          <w:u w:val="single"/>
        </w:rPr>
        <w:t>A</w:t>
      </w:r>
      <w:r>
        <w:rPr>
          <w:rFonts w:ascii="宋体" w:hAnsi="Calibri"/>
          <w:color w:val="000000"/>
          <w:szCs w:val="22"/>
        </w:rPr>
        <w:tab/>
      </w:r>
      <w:r>
        <w:rPr>
          <w:rFonts w:ascii="宋体" w:hAnsi="宋体" w:cs="宋体"/>
          <w:color w:val="000000"/>
          <w:szCs w:val="22"/>
        </w:rPr>
        <w:fldChar w:fldCharType="begin"/>
      </w:r>
      <w:r>
        <w:rPr>
          <w:rFonts w:ascii="宋体" w:hAnsi="宋体" w:cs="宋体"/>
          <w:color w:val="000000"/>
          <w:szCs w:val="22"/>
        </w:rPr>
        <w:instrText xml:space="preserve"> PAGEREF _Toc475950075 \h </w:instrText>
      </w:r>
      <w:r>
        <w:rPr>
          <w:rFonts w:ascii="宋体" w:hAnsi="宋体" w:cs="宋体"/>
          <w:color w:val="000000"/>
          <w:szCs w:val="22"/>
        </w:rPr>
        <w:fldChar w:fldCharType="separate"/>
      </w:r>
      <w:r>
        <w:rPr>
          <w:rFonts w:ascii="宋体" w:hAnsi="宋体" w:cs="宋体"/>
          <w:color w:val="000000"/>
          <w:szCs w:val="22"/>
        </w:rPr>
        <w:t>21</w:t>
      </w:r>
      <w:r>
        <w:rPr>
          <w:rFonts w:ascii="宋体" w:hAnsi="宋体" w:cs="宋体"/>
          <w:color w:val="000000"/>
          <w:szCs w:val="22"/>
        </w:rPr>
        <w:fldChar w:fldCharType="end"/>
      </w:r>
      <w:r>
        <w:rPr>
          <w:rFonts w:ascii="宋体" w:hAnsi="宋体" w:cs="宋体"/>
          <w:color w:val="000000"/>
          <w:szCs w:val="22"/>
        </w:rPr>
        <w:fldChar w:fldCharType="end"/>
      </w:r>
    </w:p>
    <w:p>
      <w:pPr>
        <w:rPr>
          <w:rFonts w:ascii="宋体"/>
          <w:color w:val="000000"/>
        </w:rPr>
      </w:pPr>
      <w:r>
        <w:rPr>
          <w:rFonts w:ascii="宋体" w:hAnsi="宋体" w:cs="宋体"/>
          <w:color w:val="000000"/>
        </w:rPr>
        <w:fldChar w:fldCharType="end"/>
      </w:r>
    </w:p>
    <w:p>
      <w:pPr>
        <w:widowControl/>
        <w:jc w:val="left"/>
        <w:rPr>
          <w:rFonts w:ascii="宋体"/>
          <w:color w:val="000000"/>
          <w:kern w:val="0"/>
          <w:sz w:val="32"/>
          <w:szCs w:val="32"/>
        </w:rPr>
      </w:pPr>
      <w:r>
        <w:rPr>
          <w:rFonts w:ascii="宋体"/>
          <w:color w:val="000000"/>
        </w:rPr>
        <w:br w:type="page"/>
      </w:r>
    </w:p>
    <w:p>
      <w:pPr>
        <w:spacing w:line="360" w:lineRule="auto"/>
        <w:jc w:val="center"/>
        <w:rPr>
          <w:rFonts w:ascii="宋体"/>
          <w:b/>
          <w:bCs/>
          <w:color w:val="000000"/>
          <w:sz w:val="36"/>
          <w:szCs w:val="36"/>
        </w:rPr>
      </w:pPr>
      <w:r>
        <w:rPr>
          <w:rFonts w:hint="eastAsia" w:ascii="宋体" w:hAnsi="宋体" w:cs="宋体"/>
          <w:b/>
          <w:bCs/>
          <w:color w:val="000000"/>
          <w:sz w:val="36"/>
          <w:szCs w:val="36"/>
        </w:rPr>
        <w:t>中国建筑装饰行业企业主体信用评价标准</w:t>
      </w:r>
    </w:p>
    <w:p>
      <w:pPr>
        <w:spacing w:before="1"/>
        <w:ind w:left="904"/>
        <w:jc w:val="left"/>
        <w:outlineLvl w:val="0"/>
        <w:rPr>
          <w:rFonts w:ascii="宋体"/>
          <w:b/>
          <w:bCs/>
          <w:color w:val="000000"/>
          <w:sz w:val="32"/>
          <w:szCs w:val="32"/>
        </w:rPr>
      </w:pPr>
      <w:bookmarkStart w:id="0" w:name="_Toc203292050"/>
      <w:bookmarkStart w:id="1" w:name="_Toc209581061"/>
      <w:bookmarkStart w:id="2" w:name="_Toc396315853"/>
      <w:bookmarkStart w:id="3" w:name="_Toc306631757"/>
      <w:bookmarkStart w:id="4" w:name="_Toc475950066"/>
      <w:bookmarkStart w:id="5" w:name="_Toc203292952"/>
      <w:bookmarkStart w:id="6" w:name="_Toc210303697"/>
      <w:bookmarkStart w:id="7" w:name="_Toc203292886"/>
      <w:bookmarkStart w:id="8" w:name="_Toc307588701"/>
      <w:r>
        <w:rPr>
          <w:rFonts w:ascii="宋体" w:hAnsi="宋体" w:cs="宋体"/>
          <w:b/>
          <w:bCs/>
          <w:color w:val="000000"/>
          <w:sz w:val="32"/>
          <w:szCs w:val="32"/>
        </w:rPr>
        <w:t xml:space="preserve">1 </w:t>
      </w:r>
      <w:r>
        <w:rPr>
          <w:rFonts w:hint="eastAsia" w:ascii="宋体" w:hAnsi="宋体" w:cs="宋体"/>
          <w:b/>
          <w:bCs/>
          <w:color w:val="000000"/>
          <w:sz w:val="32"/>
          <w:szCs w:val="32"/>
        </w:rPr>
        <w:t>范围</w:t>
      </w:r>
      <w:bookmarkEnd w:id="0"/>
      <w:bookmarkEnd w:id="1"/>
      <w:bookmarkEnd w:id="2"/>
      <w:bookmarkEnd w:id="3"/>
      <w:bookmarkEnd w:id="4"/>
      <w:bookmarkEnd w:id="5"/>
      <w:bookmarkEnd w:id="6"/>
      <w:bookmarkEnd w:id="7"/>
      <w:bookmarkEnd w:id="8"/>
    </w:p>
    <w:p>
      <w:pPr>
        <w:widowControl/>
        <w:autoSpaceDE w:val="0"/>
        <w:autoSpaceDN w:val="0"/>
        <w:spacing w:line="360" w:lineRule="auto"/>
        <w:ind w:firstLine="424" w:firstLineChars="202"/>
        <w:rPr>
          <w:rFonts w:ascii="宋体"/>
          <w:color w:val="000000"/>
          <w:kern w:val="0"/>
        </w:rPr>
      </w:pPr>
      <w:r>
        <w:rPr>
          <w:rFonts w:hint="eastAsia" w:ascii="宋体" w:hAnsi="宋体" w:cs="宋体"/>
          <w:color w:val="000000"/>
          <w:kern w:val="0"/>
        </w:rPr>
        <w:t>本标准规定了中国建筑装饰行业企业主体信用评价的方法和内容、信用等级及各等级的含义、信用评价流程、信用评价报告的撰写要求、信用评价指标体系及其权重分配规则以及信息的归集、建档及保密等。</w:t>
      </w:r>
    </w:p>
    <w:p>
      <w:pPr>
        <w:widowControl/>
        <w:autoSpaceDE w:val="0"/>
        <w:autoSpaceDN w:val="0"/>
        <w:spacing w:line="360" w:lineRule="auto"/>
        <w:ind w:firstLine="424" w:firstLineChars="202"/>
        <w:rPr>
          <w:rFonts w:ascii="宋体"/>
          <w:color w:val="000000"/>
          <w:kern w:val="0"/>
        </w:rPr>
      </w:pPr>
      <w:r>
        <w:rPr>
          <w:rFonts w:hint="eastAsia" w:ascii="宋体" w:hAnsi="宋体" w:cs="宋体"/>
          <w:color w:val="000000"/>
          <w:kern w:val="0"/>
        </w:rPr>
        <w:t>本标准适用于信用评价机构对建筑装饰行业企业主体开展的信用评价活动。</w:t>
      </w:r>
    </w:p>
    <w:p>
      <w:pPr>
        <w:widowControl/>
        <w:autoSpaceDE w:val="0"/>
        <w:autoSpaceDN w:val="0"/>
        <w:spacing w:line="360" w:lineRule="auto"/>
        <w:ind w:firstLine="424" w:firstLineChars="202"/>
        <w:rPr>
          <w:rFonts w:ascii="宋体"/>
          <w:color w:val="000000"/>
          <w:kern w:val="0"/>
        </w:rPr>
      </w:pPr>
      <w:r>
        <w:rPr>
          <w:rFonts w:hint="eastAsia" w:ascii="宋体" w:hAnsi="宋体" w:cs="宋体"/>
          <w:color w:val="000000"/>
          <w:kern w:val="0"/>
        </w:rPr>
        <w:t>本标准定义的受评主体系指包括但不限于从事建筑装饰装修工程、建筑幕墙工程以及特殊建筑装饰工程的法人和其他组织。</w:t>
      </w:r>
      <w:bookmarkStart w:id="9" w:name="_Toc307588702"/>
      <w:bookmarkStart w:id="10" w:name="_Toc306631758"/>
      <w:bookmarkStart w:id="11" w:name="_Toc203292953"/>
      <w:bookmarkStart w:id="12" w:name="_Toc209581062"/>
      <w:bookmarkStart w:id="13" w:name="_Toc210303698"/>
      <w:bookmarkStart w:id="14" w:name="_Toc396315854"/>
      <w:bookmarkStart w:id="15" w:name="_Toc203292887"/>
      <w:bookmarkStart w:id="16" w:name="_Toc475950067"/>
      <w:bookmarkStart w:id="17" w:name="_Toc203292052"/>
    </w:p>
    <w:p>
      <w:pPr>
        <w:spacing w:before="1"/>
        <w:ind w:left="904"/>
        <w:jc w:val="left"/>
        <w:outlineLvl w:val="0"/>
        <w:rPr>
          <w:rFonts w:ascii="宋体"/>
          <w:b/>
          <w:bCs/>
          <w:color w:val="000000"/>
          <w:sz w:val="32"/>
          <w:szCs w:val="32"/>
        </w:rPr>
      </w:pPr>
      <w:r>
        <w:rPr>
          <w:rFonts w:ascii="宋体" w:hAnsi="宋体" w:cs="宋体"/>
          <w:b/>
          <w:bCs/>
          <w:color w:val="000000"/>
          <w:sz w:val="32"/>
          <w:szCs w:val="32"/>
        </w:rPr>
        <w:t xml:space="preserve">2 </w:t>
      </w:r>
      <w:r>
        <w:rPr>
          <w:rFonts w:hint="eastAsia" w:ascii="宋体" w:hAnsi="宋体" w:cs="宋体"/>
          <w:b/>
          <w:bCs/>
          <w:color w:val="000000"/>
          <w:sz w:val="32"/>
          <w:szCs w:val="32"/>
        </w:rPr>
        <w:t>规范性引用文件</w:t>
      </w:r>
      <w:bookmarkEnd w:id="9"/>
      <w:bookmarkEnd w:id="10"/>
      <w:bookmarkEnd w:id="11"/>
      <w:bookmarkEnd w:id="12"/>
      <w:bookmarkEnd w:id="13"/>
      <w:bookmarkEnd w:id="14"/>
      <w:bookmarkEnd w:id="15"/>
      <w:bookmarkEnd w:id="16"/>
    </w:p>
    <w:p>
      <w:pPr>
        <w:widowControl/>
        <w:autoSpaceDE w:val="0"/>
        <w:autoSpaceDN w:val="0"/>
        <w:spacing w:line="360" w:lineRule="auto"/>
        <w:ind w:firstLine="424" w:firstLineChars="202"/>
        <w:rPr>
          <w:rFonts w:ascii="宋体" w:hAnsi="宋体"/>
          <w:color w:val="000000"/>
          <w:kern w:val="0"/>
        </w:rPr>
      </w:pPr>
      <w:r>
        <w:rPr>
          <w:rFonts w:hint="eastAsia" w:ascii="宋体" w:hAnsi="宋体" w:cs="宋体"/>
          <w:color w:val="000000"/>
          <w:kern w:val="0"/>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bookmarkEnd w:id="17"/>
    <w:p>
      <w:pPr>
        <w:spacing w:line="360" w:lineRule="auto"/>
        <w:ind w:firstLine="525" w:firstLineChars="250"/>
        <w:rPr>
          <w:rFonts w:ascii="宋体"/>
          <w:color w:val="000000"/>
        </w:rPr>
      </w:pPr>
      <w:bookmarkStart w:id="18" w:name="_Toc203292053"/>
      <w:bookmarkStart w:id="19" w:name="_Toc396315855"/>
      <w:bookmarkStart w:id="20" w:name="_Toc203292954"/>
      <w:bookmarkStart w:id="21" w:name="_Toc307588703"/>
      <w:bookmarkStart w:id="22" w:name="_Toc209581063"/>
      <w:bookmarkStart w:id="23" w:name="_Toc203292888"/>
      <w:bookmarkStart w:id="24" w:name="_Toc210303699"/>
      <w:bookmarkStart w:id="25" w:name="_Toc306631759"/>
      <w:r>
        <w:rPr>
          <w:rFonts w:ascii="宋体" w:hAnsi="宋体" w:cs="宋体"/>
          <w:color w:val="000000"/>
        </w:rPr>
        <w:t xml:space="preserve">GB/T 22117----2008  </w:t>
      </w:r>
      <w:r>
        <w:rPr>
          <w:rFonts w:hint="eastAsia" w:ascii="宋体" w:hAnsi="宋体" w:cs="宋体"/>
          <w:color w:val="000000"/>
        </w:rPr>
        <w:t>信用</w:t>
      </w:r>
      <w:r>
        <w:rPr>
          <w:rFonts w:ascii="宋体" w:hAnsi="宋体" w:cs="宋体"/>
          <w:color w:val="000000"/>
        </w:rPr>
        <w:t xml:space="preserve">  </w:t>
      </w:r>
      <w:r>
        <w:rPr>
          <w:rFonts w:hint="eastAsia" w:ascii="宋体" w:hAnsi="宋体" w:cs="宋体"/>
          <w:color w:val="000000"/>
        </w:rPr>
        <w:t>基本术语</w:t>
      </w:r>
    </w:p>
    <w:p>
      <w:pPr>
        <w:spacing w:line="360" w:lineRule="auto"/>
        <w:ind w:firstLine="525" w:firstLineChars="250"/>
        <w:rPr>
          <w:rFonts w:ascii="宋体"/>
          <w:color w:val="000000"/>
        </w:rPr>
      </w:pPr>
      <w:r>
        <w:rPr>
          <w:rFonts w:ascii="宋体" w:hAnsi="宋体" w:cs="宋体"/>
          <w:color w:val="000000"/>
        </w:rPr>
        <w:t xml:space="preserve">GB/T22116—2008   </w:t>
      </w:r>
      <w:r>
        <w:rPr>
          <w:rFonts w:hint="eastAsia" w:ascii="宋体" w:hAnsi="宋体" w:cs="宋体"/>
          <w:color w:val="000000"/>
        </w:rPr>
        <w:t>企业信用等级表示方法</w:t>
      </w:r>
    </w:p>
    <w:p>
      <w:pPr>
        <w:spacing w:before="1"/>
        <w:ind w:left="904"/>
        <w:jc w:val="left"/>
        <w:outlineLvl w:val="0"/>
        <w:rPr>
          <w:rFonts w:ascii="宋体"/>
          <w:b/>
          <w:bCs/>
          <w:color w:val="000000"/>
          <w:sz w:val="32"/>
          <w:szCs w:val="32"/>
        </w:rPr>
      </w:pPr>
      <w:bookmarkStart w:id="26" w:name="_Toc475950068"/>
      <w:r>
        <w:rPr>
          <w:rFonts w:ascii="宋体" w:hAnsi="宋体" w:cs="宋体"/>
          <w:b/>
          <w:bCs/>
          <w:color w:val="000000"/>
          <w:sz w:val="32"/>
          <w:szCs w:val="32"/>
        </w:rPr>
        <w:t xml:space="preserve">3 </w:t>
      </w:r>
      <w:r>
        <w:rPr>
          <w:rFonts w:hint="eastAsia" w:ascii="宋体" w:hAnsi="宋体" w:cs="宋体"/>
          <w:b/>
          <w:bCs/>
          <w:color w:val="000000"/>
          <w:sz w:val="32"/>
          <w:szCs w:val="32"/>
        </w:rPr>
        <w:t>术语和定义</w:t>
      </w:r>
      <w:bookmarkEnd w:id="18"/>
      <w:bookmarkEnd w:id="19"/>
      <w:bookmarkEnd w:id="20"/>
      <w:bookmarkEnd w:id="21"/>
      <w:bookmarkEnd w:id="22"/>
      <w:bookmarkEnd w:id="23"/>
      <w:bookmarkEnd w:id="24"/>
      <w:bookmarkEnd w:id="25"/>
      <w:bookmarkEnd w:id="26"/>
    </w:p>
    <w:p>
      <w:pPr>
        <w:widowControl/>
        <w:autoSpaceDE w:val="0"/>
        <w:autoSpaceDN w:val="0"/>
        <w:adjustRightInd w:val="0"/>
        <w:spacing w:line="360" w:lineRule="auto"/>
        <w:jc w:val="left"/>
        <w:rPr>
          <w:rFonts w:ascii="宋体"/>
          <w:b/>
          <w:bCs/>
          <w:color w:val="000000"/>
          <w:kern w:val="44"/>
        </w:rPr>
      </w:pPr>
      <w:r>
        <w:rPr>
          <w:rFonts w:ascii="宋体" w:hAnsi="宋体" w:cs="宋体"/>
          <w:b/>
          <w:bCs/>
          <w:color w:val="000000"/>
          <w:kern w:val="0"/>
          <w:lang w:val="zh-CN"/>
        </w:rPr>
        <w:t xml:space="preserve">3.1  </w:t>
      </w:r>
      <w:r>
        <w:rPr>
          <w:rFonts w:hint="eastAsia" w:ascii="宋体" w:hAnsi="宋体" w:cs="宋体"/>
          <w:b/>
          <w:bCs/>
          <w:color w:val="000000"/>
          <w:kern w:val="44"/>
        </w:rPr>
        <w:t>信用</w:t>
      </w:r>
    </w:p>
    <w:p>
      <w:pPr>
        <w:widowControl/>
        <w:autoSpaceDE w:val="0"/>
        <w:autoSpaceDN w:val="0"/>
        <w:adjustRightInd w:val="0"/>
        <w:spacing w:line="360" w:lineRule="auto"/>
        <w:ind w:firstLine="413" w:firstLineChars="196"/>
        <w:jc w:val="left"/>
        <w:rPr>
          <w:rFonts w:ascii="宋体"/>
          <w:b/>
          <w:bCs/>
          <w:color w:val="000000"/>
          <w:kern w:val="44"/>
        </w:rPr>
      </w:pPr>
      <w:r>
        <w:rPr>
          <w:rFonts w:ascii="宋体" w:hAnsi="宋体" w:cs="宋体"/>
          <w:b/>
          <w:bCs/>
          <w:color w:val="000000"/>
          <w:kern w:val="44"/>
        </w:rPr>
        <w:t xml:space="preserve">1  </w:t>
      </w:r>
      <w:r>
        <w:rPr>
          <w:rFonts w:hint="eastAsia" w:ascii="宋体" w:hAnsi="宋体" w:cs="宋体"/>
          <w:color w:val="000000"/>
          <w:kern w:val="44"/>
        </w:rPr>
        <w:t>建立在信任基础上，不用立即付款或担保就可获得资金、物资或服务的能力。这种能力以在约定期限内偿还的承诺为条件。</w:t>
      </w:r>
    </w:p>
    <w:p>
      <w:pPr>
        <w:widowControl/>
        <w:autoSpaceDE w:val="0"/>
        <w:autoSpaceDN w:val="0"/>
        <w:adjustRightInd w:val="0"/>
        <w:spacing w:line="360" w:lineRule="auto"/>
        <w:ind w:firstLine="426" w:firstLineChars="202"/>
        <w:jc w:val="left"/>
        <w:rPr>
          <w:rFonts w:ascii="宋体"/>
          <w:color w:val="000000"/>
          <w:kern w:val="44"/>
        </w:rPr>
      </w:pPr>
      <w:r>
        <w:rPr>
          <w:rFonts w:ascii="宋体" w:hAnsi="宋体" w:cs="宋体"/>
          <w:b/>
          <w:bCs/>
          <w:color w:val="000000"/>
          <w:kern w:val="44"/>
        </w:rPr>
        <w:t xml:space="preserve">2 </w:t>
      </w:r>
      <w:r>
        <w:rPr>
          <w:rFonts w:ascii="宋体" w:hAnsi="宋体" w:cs="宋体"/>
          <w:color w:val="000000"/>
          <w:kern w:val="44"/>
        </w:rPr>
        <w:t xml:space="preserve"> </w:t>
      </w:r>
      <w:r>
        <w:rPr>
          <w:rFonts w:hint="eastAsia" w:ascii="宋体" w:hAnsi="宋体" w:cs="宋体"/>
          <w:color w:val="000000"/>
          <w:kern w:val="44"/>
        </w:rPr>
        <w:t>从广义上讲，信用也表现为受信人主观意愿的表达与行为的一致性，即个人或组织履行承诺的意愿、能力和表现。</w:t>
      </w:r>
    </w:p>
    <w:p>
      <w:pPr>
        <w:widowControl/>
        <w:autoSpaceDE w:val="0"/>
        <w:autoSpaceDN w:val="0"/>
        <w:adjustRightInd w:val="0"/>
        <w:spacing w:line="360" w:lineRule="auto"/>
        <w:jc w:val="left"/>
        <w:rPr>
          <w:rFonts w:ascii="宋体"/>
          <w:b/>
          <w:bCs/>
          <w:color w:val="000000"/>
          <w:kern w:val="44"/>
        </w:rPr>
      </w:pPr>
      <w:r>
        <w:rPr>
          <w:rFonts w:ascii="宋体" w:hAnsi="宋体" w:cs="宋体"/>
          <w:b/>
          <w:bCs/>
          <w:color w:val="000000"/>
          <w:kern w:val="44"/>
        </w:rPr>
        <w:t xml:space="preserve">3.2  </w:t>
      </w:r>
      <w:r>
        <w:rPr>
          <w:rFonts w:hint="eastAsia" w:ascii="宋体" w:hAnsi="宋体" w:cs="宋体"/>
          <w:b/>
          <w:bCs/>
          <w:color w:val="000000"/>
          <w:kern w:val="44"/>
        </w:rPr>
        <w:t>信用风险</w:t>
      </w:r>
    </w:p>
    <w:p>
      <w:pPr>
        <w:widowControl/>
        <w:autoSpaceDE w:val="0"/>
        <w:autoSpaceDN w:val="0"/>
        <w:adjustRightInd w:val="0"/>
        <w:spacing w:line="360" w:lineRule="auto"/>
        <w:ind w:firstLine="424" w:firstLineChars="202"/>
        <w:jc w:val="left"/>
        <w:rPr>
          <w:rFonts w:ascii="宋体"/>
          <w:color w:val="000000"/>
          <w:kern w:val="44"/>
        </w:rPr>
      </w:pPr>
      <w:r>
        <w:rPr>
          <w:rFonts w:hint="eastAsia" w:ascii="宋体" w:hAnsi="宋体" w:cs="宋体"/>
          <w:color w:val="000000"/>
          <w:kern w:val="44"/>
        </w:rPr>
        <w:t>因受信方无能力或无意愿履行承诺而导致授信方潜在损失的可能性。</w:t>
      </w:r>
    </w:p>
    <w:p>
      <w:pPr>
        <w:spacing w:line="360" w:lineRule="auto"/>
        <w:rPr>
          <w:rFonts w:ascii="宋体"/>
          <w:b/>
          <w:bCs/>
          <w:color w:val="000000"/>
        </w:rPr>
      </w:pPr>
      <w:r>
        <w:rPr>
          <w:rFonts w:ascii="宋体" w:hAnsi="宋体" w:cs="宋体"/>
          <w:b/>
          <w:bCs/>
          <w:color w:val="000000"/>
        </w:rPr>
        <w:t xml:space="preserve">3.3  </w:t>
      </w:r>
      <w:r>
        <w:rPr>
          <w:rFonts w:hint="eastAsia" w:ascii="宋体" w:hAnsi="宋体" w:cs="宋体"/>
          <w:b/>
          <w:bCs/>
          <w:color w:val="000000"/>
        </w:rPr>
        <w:t>信用信息</w:t>
      </w:r>
    </w:p>
    <w:p>
      <w:pPr>
        <w:spacing w:line="360" w:lineRule="auto"/>
        <w:ind w:firstLine="424" w:firstLineChars="202"/>
        <w:rPr>
          <w:rFonts w:ascii="宋体"/>
          <w:color w:val="000000"/>
        </w:rPr>
      </w:pPr>
      <w:r>
        <w:rPr>
          <w:rFonts w:hint="eastAsia" w:ascii="宋体" w:hAnsi="宋体" w:cs="宋体"/>
          <w:color w:val="000000"/>
        </w:rPr>
        <w:t>反映或描述信用主体信用状况的相关数据和资料等。</w:t>
      </w:r>
    </w:p>
    <w:p>
      <w:pPr>
        <w:spacing w:line="360" w:lineRule="auto"/>
        <w:rPr>
          <w:rFonts w:ascii="宋体"/>
          <w:b/>
          <w:bCs/>
          <w:color w:val="000000"/>
        </w:rPr>
      </w:pPr>
      <w:r>
        <w:rPr>
          <w:rFonts w:ascii="宋体" w:hAnsi="宋体" w:cs="宋体"/>
          <w:b/>
          <w:bCs/>
          <w:color w:val="000000"/>
        </w:rPr>
        <w:t xml:space="preserve">3.4  </w:t>
      </w:r>
      <w:r>
        <w:rPr>
          <w:rFonts w:hint="eastAsia" w:ascii="宋体" w:hAnsi="宋体" w:cs="宋体"/>
          <w:b/>
          <w:bCs/>
          <w:color w:val="000000"/>
        </w:rPr>
        <w:t>信用评价</w:t>
      </w:r>
    </w:p>
    <w:p>
      <w:pPr>
        <w:widowControl/>
        <w:autoSpaceDE w:val="0"/>
        <w:autoSpaceDN w:val="0"/>
        <w:spacing w:line="360" w:lineRule="auto"/>
        <w:ind w:firstLine="420" w:firstLineChars="200"/>
        <w:rPr>
          <w:rFonts w:ascii="宋体" w:hAnsi="宋体"/>
          <w:color w:val="000000"/>
        </w:rPr>
      </w:pPr>
      <w:r>
        <w:rPr>
          <w:rFonts w:hint="eastAsia" w:ascii="宋体" w:hAnsi="宋体" w:cs="宋体"/>
          <w:color w:val="000000"/>
        </w:rPr>
        <w:t>信用评价机构根据标准的</w:t>
      </w:r>
      <w:r>
        <w:fldChar w:fldCharType="begin"/>
      </w:r>
      <w:r>
        <w:instrText xml:space="preserve"> HYPERLINK "http://baike.so.com/doc/1173090-1240847.html" \t "_blank" </w:instrText>
      </w:r>
      <w:r>
        <w:fldChar w:fldCharType="separate"/>
      </w:r>
      <w:r>
        <w:rPr>
          <w:rFonts w:hint="eastAsia" w:ascii="宋体" w:hAnsi="宋体" w:cs="宋体"/>
          <w:color w:val="000000"/>
        </w:rPr>
        <w:t>指标体系</w:t>
      </w:r>
      <w:r>
        <w:rPr>
          <w:rFonts w:hint="eastAsia" w:ascii="宋体" w:hAnsi="宋体" w:cs="宋体"/>
          <w:color w:val="000000"/>
        </w:rPr>
        <w:fldChar w:fldCharType="end"/>
      </w:r>
      <w:r>
        <w:rPr>
          <w:rFonts w:hint="eastAsia" w:ascii="宋体" w:hAnsi="宋体" w:cs="宋体"/>
          <w:color w:val="000000"/>
        </w:rPr>
        <w:t>和科学的评估方法，以独立、客观、公正、公平的立场，对受评对象的履约能力和履约意愿进行评价，并以一定的符号表示其信用等级的一种有组织的活动。</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3.5  </w:t>
      </w:r>
      <w:r>
        <w:rPr>
          <w:rFonts w:hint="eastAsia" w:ascii="宋体" w:hAnsi="宋体" w:cs="宋体"/>
          <w:b/>
          <w:bCs/>
          <w:color w:val="000000"/>
          <w:kern w:val="0"/>
        </w:rPr>
        <w:t>信用评价机构</w:t>
      </w:r>
    </w:p>
    <w:p>
      <w:pPr>
        <w:widowControl/>
        <w:autoSpaceDE w:val="0"/>
        <w:autoSpaceDN w:val="0"/>
        <w:spacing w:line="360" w:lineRule="auto"/>
        <w:ind w:firstLine="420" w:firstLineChars="200"/>
        <w:rPr>
          <w:rFonts w:ascii="宋体" w:hAnsi="宋体"/>
          <w:color w:val="000000"/>
          <w:kern w:val="0"/>
        </w:rPr>
      </w:pPr>
      <w:r>
        <w:rPr>
          <w:rFonts w:hint="eastAsia" w:ascii="宋体" w:hAnsi="宋体" w:cs="宋体"/>
          <w:color w:val="000000"/>
          <w:kern w:val="0"/>
        </w:rPr>
        <w:t>依法设立从事征信或信用评价业务的独立第三方机构。</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3.6  </w:t>
      </w:r>
      <w:r>
        <w:rPr>
          <w:rFonts w:hint="eastAsia" w:ascii="宋体" w:hAnsi="宋体" w:cs="宋体"/>
          <w:b/>
          <w:bCs/>
          <w:color w:val="000000"/>
          <w:kern w:val="0"/>
        </w:rPr>
        <w:t>信用评价指标</w:t>
      </w:r>
    </w:p>
    <w:p>
      <w:pPr>
        <w:widowControl/>
        <w:autoSpaceDE w:val="0"/>
        <w:autoSpaceDN w:val="0"/>
        <w:spacing w:line="360" w:lineRule="auto"/>
        <w:ind w:firstLine="420" w:firstLineChars="200"/>
        <w:rPr>
          <w:rFonts w:ascii="宋体" w:hAnsi="宋体"/>
          <w:color w:val="000000"/>
          <w:kern w:val="0"/>
        </w:rPr>
      </w:pPr>
      <w:r>
        <w:rPr>
          <w:rFonts w:hint="eastAsia" w:ascii="宋体" w:hAnsi="宋体" w:cs="宋体"/>
          <w:color w:val="000000"/>
          <w:kern w:val="0"/>
        </w:rPr>
        <w:t>反映受评主体信用状况和特征的系列指标。</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3.7  </w:t>
      </w:r>
      <w:r>
        <w:rPr>
          <w:rFonts w:hint="eastAsia" w:ascii="宋体" w:hAnsi="宋体" w:cs="宋体"/>
          <w:b/>
          <w:bCs/>
          <w:color w:val="000000"/>
          <w:kern w:val="0"/>
        </w:rPr>
        <w:t>信用等级</w:t>
      </w:r>
    </w:p>
    <w:p>
      <w:pPr>
        <w:widowControl/>
        <w:autoSpaceDE w:val="0"/>
        <w:autoSpaceDN w:val="0"/>
        <w:spacing w:line="360" w:lineRule="auto"/>
        <w:ind w:firstLine="420" w:firstLineChars="200"/>
        <w:rPr>
          <w:rFonts w:ascii="宋体" w:hAnsi="宋体"/>
          <w:color w:val="000000"/>
          <w:kern w:val="0"/>
        </w:rPr>
      </w:pPr>
      <w:r>
        <w:rPr>
          <w:rFonts w:hint="eastAsia" w:ascii="宋体" w:hAnsi="宋体" w:cs="宋体"/>
          <w:color w:val="000000"/>
          <w:kern w:val="0"/>
        </w:rPr>
        <w:t>信用评价机构用于表示受评主体信用风险程度的标识或符号。</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3.8  </w:t>
      </w:r>
      <w:r>
        <w:rPr>
          <w:rFonts w:hint="eastAsia" w:ascii="宋体" w:hAnsi="宋体" w:cs="宋体"/>
          <w:b/>
          <w:bCs/>
          <w:color w:val="000000"/>
          <w:kern w:val="0"/>
        </w:rPr>
        <w:t>信用评价报告</w:t>
      </w:r>
    </w:p>
    <w:p>
      <w:pPr>
        <w:widowControl/>
        <w:autoSpaceDE w:val="0"/>
        <w:autoSpaceDN w:val="0"/>
        <w:spacing w:line="360" w:lineRule="auto"/>
        <w:rPr>
          <w:rFonts w:ascii="宋体" w:hAnsi="宋体"/>
          <w:color w:val="000000"/>
          <w:kern w:val="0"/>
        </w:rPr>
      </w:pPr>
      <w:r>
        <w:rPr>
          <w:rFonts w:ascii="宋体" w:hAnsi="宋体"/>
          <w:color w:val="000000"/>
          <w:kern w:val="0"/>
        </w:rPr>
        <w:tab/>
      </w:r>
      <w:r>
        <w:rPr>
          <w:rFonts w:hint="eastAsia" w:ascii="宋体" w:hAnsi="宋体" w:cs="宋体"/>
          <w:color w:val="000000"/>
          <w:kern w:val="0"/>
        </w:rPr>
        <w:t>信用评价机构根据既定的信用评价方法、指标体系、业务流程，对受评主体的相关数据及调查资料，作如实的记载和系统分析，撰写出的充分反映受评对象真实信用情况的报告。</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3.9  </w:t>
      </w:r>
      <w:r>
        <w:rPr>
          <w:rFonts w:hint="eastAsia" w:ascii="宋体" w:hAnsi="宋体" w:cs="宋体"/>
          <w:b/>
          <w:bCs/>
          <w:color w:val="000000"/>
          <w:kern w:val="0"/>
        </w:rPr>
        <w:t>信用等级公告</w:t>
      </w:r>
    </w:p>
    <w:p>
      <w:pPr>
        <w:widowControl/>
        <w:autoSpaceDE w:val="0"/>
        <w:autoSpaceDN w:val="0"/>
        <w:spacing w:line="360" w:lineRule="auto"/>
        <w:ind w:firstLine="420" w:firstLineChars="200"/>
        <w:rPr>
          <w:rFonts w:ascii="宋体" w:hAnsi="宋体"/>
          <w:color w:val="000000"/>
          <w:kern w:val="0"/>
        </w:rPr>
      </w:pPr>
      <w:r>
        <w:rPr>
          <w:rFonts w:hint="eastAsia" w:ascii="宋体" w:hAnsi="宋体" w:cs="宋体"/>
          <w:color w:val="000000"/>
          <w:kern w:val="0"/>
        </w:rPr>
        <w:t>信用评价机构提供的企业主体信用评价结果及其主要依据的公示材料。</w:t>
      </w:r>
    </w:p>
    <w:p>
      <w:pPr>
        <w:spacing w:before="1"/>
        <w:ind w:left="904"/>
        <w:jc w:val="left"/>
        <w:outlineLvl w:val="0"/>
        <w:rPr>
          <w:rFonts w:ascii="宋体"/>
          <w:b/>
          <w:bCs/>
          <w:color w:val="000000"/>
          <w:sz w:val="32"/>
          <w:szCs w:val="32"/>
        </w:rPr>
      </w:pPr>
      <w:bookmarkStart w:id="27" w:name="_Toc475950069"/>
      <w:bookmarkStart w:id="28" w:name="_Toc396315856"/>
      <w:r>
        <w:rPr>
          <w:rFonts w:ascii="宋体" w:hAnsi="宋体" w:cs="宋体"/>
          <w:b/>
          <w:bCs/>
          <w:color w:val="000000"/>
          <w:sz w:val="32"/>
          <w:szCs w:val="32"/>
        </w:rPr>
        <w:t xml:space="preserve">4 </w:t>
      </w:r>
      <w:r>
        <w:rPr>
          <w:rFonts w:hint="eastAsia" w:ascii="宋体" w:hAnsi="宋体" w:cs="宋体"/>
          <w:b/>
          <w:bCs/>
          <w:color w:val="000000"/>
          <w:sz w:val="32"/>
          <w:szCs w:val="32"/>
        </w:rPr>
        <w:t>信用评价基本规定</w:t>
      </w:r>
      <w:bookmarkEnd w:id="27"/>
      <w:bookmarkEnd w:id="28"/>
    </w:p>
    <w:p>
      <w:pPr>
        <w:widowControl/>
        <w:autoSpaceDE w:val="0"/>
        <w:autoSpaceDN w:val="0"/>
        <w:spacing w:line="360" w:lineRule="auto"/>
        <w:jc w:val="left"/>
        <w:rPr>
          <w:rFonts w:ascii="宋体" w:hAnsi="宋体"/>
          <w:b/>
          <w:bCs/>
          <w:color w:val="000000"/>
          <w:kern w:val="0"/>
        </w:rPr>
      </w:pPr>
      <w:r>
        <w:rPr>
          <w:rFonts w:ascii="宋体" w:hAnsi="宋体" w:cs="宋体"/>
          <w:b/>
          <w:bCs/>
          <w:color w:val="000000"/>
          <w:kern w:val="0"/>
        </w:rPr>
        <w:t xml:space="preserve">4.1 </w:t>
      </w:r>
      <w:r>
        <w:rPr>
          <w:rFonts w:hint="eastAsia" w:ascii="宋体" w:hAnsi="宋体" w:cs="宋体"/>
          <w:b/>
          <w:bCs/>
          <w:color w:val="000000"/>
          <w:kern w:val="0"/>
        </w:rPr>
        <w:t>信用评价基本原则</w:t>
      </w:r>
    </w:p>
    <w:p>
      <w:pPr>
        <w:widowControl/>
        <w:autoSpaceDE w:val="0"/>
        <w:autoSpaceDN w:val="0"/>
        <w:spacing w:line="360" w:lineRule="auto"/>
        <w:jc w:val="left"/>
        <w:rPr>
          <w:rFonts w:ascii="宋体" w:hAnsi="宋体"/>
          <w:b/>
          <w:bCs/>
          <w:color w:val="000000"/>
          <w:kern w:val="0"/>
        </w:rPr>
      </w:pPr>
      <w:r>
        <w:rPr>
          <w:rFonts w:ascii="宋体" w:hAnsi="宋体" w:cs="宋体"/>
          <w:b/>
          <w:bCs/>
          <w:color w:val="000000"/>
          <w:kern w:val="0"/>
        </w:rPr>
        <w:t xml:space="preserve">4.1.1  </w:t>
      </w:r>
      <w:r>
        <w:rPr>
          <w:rFonts w:hint="eastAsia" w:ascii="宋体" w:hAnsi="宋体" w:cs="宋体"/>
          <w:color w:val="000000"/>
          <w:kern w:val="0"/>
        </w:rPr>
        <w:t>真实性原则：信用评价机构应根据标准的流程和方法对拟参与评价的企业主体各类数据和资料进行分析并审定评价结果；</w:t>
      </w:r>
    </w:p>
    <w:p>
      <w:pPr>
        <w:widowControl/>
        <w:autoSpaceDE w:val="0"/>
        <w:autoSpaceDN w:val="0"/>
        <w:spacing w:line="360" w:lineRule="auto"/>
        <w:jc w:val="left"/>
        <w:rPr>
          <w:rFonts w:ascii="宋体" w:hAnsi="宋体"/>
          <w:b/>
          <w:bCs/>
          <w:color w:val="000000"/>
          <w:kern w:val="0"/>
        </w:rPr>
      </w:pPr>
      <w:r>
        <w:rPr>
          <w:rFonts w:ascii="宋体" w:hAnsi="宋体" w:cs="宋体"/>
          <w:b/>
          <w:bCs/>
          <w:color w:val="000000"/>
          <w:kern w:val="0"/>
        </w:rPr>
        <w:t xml:space="preserve">4.1.2  </w:t>
      </w:r>
      <w:r>
        <w:rPr>
          <w:rFonts w:hint="eastAsia" w:ascii="宋体" w:hAnsi="宋体" w:cs="宋体"/>
          <w:color w:val="000000"/>
          <w:kern w:val="0"/>
        </w:rPr>
        <w:t>一致性原则：信用评价机构对所有拟参与评价的企业主体进行信用评价时，采用的流程、方法、指标都应与本机构公开的流程、方法、指标一致，级别审定标准一致；</w:t>
      </w:r>
    </w:p>
    <w:p>
      <w:pPr>
        <w:widowControl/>
        <w:autoSpaceDE w:val="0"/>
        <w:autoSpaceDN w:val="0"/>
        <w:spacing w:line="360" w:lineRule="auto"/>
        <w:jc w:val="left"/>
        <w:rPr>
          <w:rFonts w:ascii="宋体" w:hAnsi="宋体"/>
          <w:b/>
          <w:bCs/>
          <w:color w:val="000000"/>
          <w:kern w:val="0"/>
        </w:rPr>
      </w:pPr>
      <w:r>
        <w:rPr>
          <w:rFonts w:ascii="宋体" w:hAnsi="宋体" w:cs="宋体"/>
          <w:b/>
          <w:bCs/>
          <w:color w:val="000000"/>
          <w:kern w:val="0"/>
        </w:rPr>
        <w:t xml:space="preserve">4.1.3  </w:t>
      </w:r>
      <w:r>
        <w:rPr>
          <w:rFonts w:hint="eastAsia" w:ascii="宋体" w:hAnsi="宋体" w:cs="宋体"/>
          <w:color w:val="000000"/>
          <w:kern w:val="0"/>
        </w:rPr>
        <w:t>独立性原则：信用评价机构应对评价程序、数据分析、级别审定等做出独立判断，不能受其他外部因素的影响；</w:t>
      </w:r>
    </w:p>
    <w:p>
      <w:pPr>
        <w:widowControl/>
        <w:autoSpaceDE w:val="0"/>
        <w:autoSpaceDN w:val="0"/>
        <w:spacing w:line="360" w:lineRule="auto"/>
        <w:jc w:val="left"/>
        <w:rPr>
          <w:rFonts w:ascii="宋体" w:hAnsi="宋体"/>
          <w:b/>
          <w:bCs/>
          <w:color w:val="000000"/>
          <w:kern w:val="0"/>
        </w:rPr>
      </w:pPr>
      <w:r>
        <w:rPr>
          <w:rFonts w:ascii="宋体" w:hAnsi="宋体" w:cs="宋体"/>
          <w:b/>
          <w:bCs/>
          <w:color w:val="000000"/>
          <w:kern w:val="0"/>
        </w:rPr>
        <w:t>4.1.4</w:t>
      </w:r>
      <w:r>
        <w:rPr>
          <w:rFonts w:ascii="宋体" w:hAnsi="宋体" w:cs="宋体"/>
          <w:color w:val="000000"/>
          <w:kern w:val="0"/>
        </w:rPr>
        <w:t xml:space="preserve">  </w:t>
      </w:r>
      <w:r>
        <w:rPr>
          <w:rFonts w:hint="eastAsia" w:ascii="宋体" w:hAnsi="宋体" w:cs="宋体"/>
          <w:color w:val="000000"/>
          <w:kern w:val="0"/>
        </w:rPr>
        <w:t>客观性原则：评价机构的信用分析师在评价过程中应持审慎态度，准确提示影响受评主体的信用风险与经营风险，并做到公正，不带有任何偏见。</w:t>
      </w:r>
    </w:p>
    <w:p>
      <w:pPr>
        <w:widowControl/>
        <w:autoSpaceDE w:val="0"/>
        <w:autoSpaceDN w:val="0"/>
        <w:spacing w:line="360" w:lineRule="auto"/>
        <w:jc w:val="left"/>
        <w:rPr>
          <w:rFonts w:ascii="宋体" w:hAnsi="宋体"/>
          <w:b/>
          <w:bCs/>
          <w:color w:val="000000"/>
          <w:kern w:val="0"/>
        </w:rPr>
      </w:pPr>
      <w:r>
        <w:rPr>
          <w:rFonts w:ascii="宋体" w:hAnsi="宋体" w:cs="宋体"/>
          <w:b/>
          <w:bCs/>
          <w:color w:val="000000"/>
          <w:kern w:val="0"/>
        </w:rPr>
        <w:t xml:space="preserve">4.2 </w:t>
      </w:r>
      <w:r>
        <w:rPr>
          <w:rFonts w:hint="eastAsia" w:ascii="宋体" w:hAnsi="宋体" w:cs="宋体"/>
          <w:b/>
          <w:bCs/>
          <w:color w:val="000000"/>
          <w:kern w:val="0"/>
        </w:rPr>
        <w:t>信用评价流程</w:t>
      </w:r>
    </w:p>
    <w:p>
      <w:pPr>
        <w:tabs>
          <w:tab w:val="left" w:pos="993"/>
        </w:tabs>
        <w:spacing w:line="360" w:lineRule="auto"/>
        <w:rPr>
          <w:rFonts w:ascii="宋体"/>
          <w:b/>
          <w:bCs/>
          <w:color w:val="000000"/>
        </w:rPr>
      </w:pPr>
      <w:r>
        <w:rPr>
          <w:rFonts w:ascii="宋体" w:hAnsi="宋体" w:cs="宋体"/>
          <w:b/>
          <w:bCs/>
          <w:color w:val="000000"/>
        </w:rPr>
        <w:t xml:space="preserve">4.2.1  </w:t>
      </w:r>
      <w:r>
        <w:rPr>
          <w:rFonts w:hint="eastAsia" w:ascii="宋体" w:hAnsi="宋体" w:cs="宋体"/>
          <w:b/>
          <w:bCs/>
          <w:color w:val="000000"/>
        </w:rPr>
        <w:t>受理</w:t>
      </w:r>
    </w:p>
    <w:p>
      <w:pPr>
        <w:tabs>
          <w:tab w:val="left" w:pos="993"/>
        </w:tabs>
        <w:spacing w:line="360" w:lineRule="auto"/>
        <w:ind w:firstLine="413" w:firstLineChars="196"/>
        <w:rPr>
          <w:rFonts w:ascii="宋体"/>
          <w:color w:val="000000"/>
          <w:kern w:val="0"/>
        </w:rPr>
      </w:pPr>
      <w:r>
        <w:rPr>
          <w:rFonts w:ascii="宋体" w:hAnsi="宋体" w:cs="宋体"/>
          <w:b/>
          <w:bCs/>
          <w:color w:val="000000"/>
        </w:rPr>
        <w:t xml:space="preserve">1 </w:t>
      </w:r>
      <w:r>
        <w:rPr>
          <w:rFonts w:hint="eastAsia" w:ascii="宋体" w:hAnsi="宋体" w:cs="宋体"/>
          <w:color w:val="000000"/>
        </w:rPr>
        <w:t>信用评价机构在收到受评主体的申请后，受评主体</w:t>
      </w:r>
      <w:r>
        <w:rPr>
          <w:rFonts w:hint="eastAsia" w:ascii="宋体" w:hAnsi="宋体" w:cs="宋体"/>
          <w:color w:val="000000"/>
          <w:kern w:val="0"/>
        </w:rPr>
        <w:t>与评价机构当事双方应签订“企业信用评价合同”。</w:t>
      </w:r>
    </w:p>
    <w:p>
      <w:pPr>
        <w:tabs>
          <w:tab w:val="left" w:pos="993"/>
        </w:tabs>
        <w:spacing w:line="360" w:lineRule="auto"/>
        <w:ind w:firstLine="422" w:firstLineChars="200"/>
        <w:rPr>
          <w:rFonts w:ascii="宋体"/>
          <w:color w:val="000000"/>
          <w:kern w:val="0"/>
        </w:rPr>
      </w:pPr>
      <w:r>
        <w:rPr>
          <w:rFonts w:ascii="宋体" w:hAnsi="宋体" w:cs="宋体"/>
          <w:b/>
          <w:bCs/>
          <w:color w:val="000000"/>
          <w:kern w:val="0"/>
        </w:rPr>
        <w:t xml:space="preserve">2 </w:t>
      </w:r>
      <w:r>
        <w:rPr>
          <w:rFonts w:hint="eastAsia" w:ascii="宋体" w:hAnsi="宋体" w:cs="宋体"/>
          <w:color w:val="000000"/>
          <w:kern w:val="0"/>
        </w:rPr>
        <w:t>信用评价机构应为此次信用评价项目设立评价小组，评价小组至少由两人组成。</w:t>
      </w:r>
    </w:p>
    <w:p>
      <w:pPr>
        <w:tabs>
          <w:tab w:val="left" w:pos="993"/>
        </w:tabs>
        <w:spacing w:line="360" w:lineRule="auto"/>
        <w:ind w:firstLine="422" w:firstLineChars="200"/>
        <w:rPr>
          <w:rFonts w:ascii="宋体"/>
          <w:color w:val="000000"/>
          <w:kern w:val="0"/>
        </w:rPr>
      </w:pPr>
      <w:r>
        <w:rPr>
          <w:rFonts w:ascii="宋体" w:hAnsi="宋体" w:cs="宋体"/>
          <w:b/>
          <w:bCs/>
          <w:color w:val="000000"/>
          <w:kern w:val="0"/>
        </w:rPr>
        <w:t xml:space="preserve">3 </w:t>
      </w:r>
      <w:r>
        <w:rPr>
          <w:rFonts w:hint="eastAsia" w:ascii="宋体" w:hAnsi="宋体" w:cs="宋体"/>
          <w:color w:val="000000"/>
          <w:kern w:val="0"/>
        </w:rPr>
        <w:t>信用评价小组是信用评价机构指定与受评主体的联络人。</w:t>
      </w:r>
    </w:p>
    <w:p>
      <w:pPr>
        <w:tabs>
          <w:tab w:val="left" w:pos="993"/>
        </w:tabs>
        <w:spacing w:line="360" w:lineRule="auto"/>
        <w:rPr>
          <w:rFonts w:ascii="宋体"/>
          <w:b/>
          <w:bCs/>
          <w:color w:val="000000"/>
        </w:rPr>
      </w:pPr>
      <w:r>
        <w:rPr>
          <w:rFonts w:ascii="宋体" w:hAnsi="宋体" w:cs="宋体"/>
          <w:b/>
          <w:bCs/>
          <w:color w:val="000000"/>
        </w:rPr>
        <w:t xml:space="preserve">4.2.2  </w:t>
      </w:r>
      <w:r>
        <w:rPr>
          <w:rFonts w:hint="eastAsia" w:ascii="宋体" w:hAnsi="宋体" w:cs="宋体"/>
          <w:b/>
          <w:bCs/>
          <w:color w:val="000000"/>
        </w:rPr>
        <w:t>信息核实</w:t>
      </w:r>
    </w:p>
    <w:p>
      <w:pPr>
        <w:tabs>
          <w:tab w:val="left" w:pos="993"/>
        </w:tabs>
        <w:spacing w:line="360" w:lineRule="auto"/>
        <w:ind w:firstLine="422" w:firstLineChars="200"/>
        <w:rPr>
          <w:rFonts w:ascii="宋体"/>
          <w:color w:val="000000"/>
        </w:rPr>
      </w:pPr>
      <w:r>
        <w:rPr>
          <w:rFonts w:ascii="宋体" w:hAnsi="宋体" w:cs="宋体"/>
          <w:b/>
          <w:bCs/>
          <w:color w:val="000000"/>
        </w:rPr>
        <w:t xml:space="preserve">1 </w:t>
      </w:r>
      <w:r>
        <w:rPr>
          <w:rFonts w:hint="eastAsia" w:ascii="宋体" w:hAnsi="宋体" w:cs="宋体"/>
          <w:color w:val="000000"/>
        </w:rPr>
        <w:t>受评主体应</w:t>
      </w:r>
      <w:r>
        <w:rPr>
          <w:rFonts w:hint="eastAsia" w:ascii="宋体" w:hAnsi="宋体" w:cs="宋体"/>
          <w:color w:val="000000"/>
          <w:kern w:val="0"/>
        </w:rPr>
        <w:t>按合同约定，根据信用评价机构的要求提供材料，并承诺对所提供材料的真实性负责。</w:t>
      </w:r>
    </w:p>
    <w:p>
      <w:pPr>
        <w:tabs>
          <w:tab w:val="left" w:pos="993"/>
        </w:tabs>
        <w:spacing w:line="360" w:lineRule="auto"/>
        <w:ind w:firstLine="422" w:firstLineChars="200"/>
        <w:rPr>
          <w:rFonts w:ascii="宋体"/>
          <w:color w:val="000000"/>
        </w:rPr>
      </w:pPr>
      <w:r>
        <w:rPr>
          <w:rFonts w:ascii="宋体" w:hAnsi="宋体" w:cs="宋体"/>
          <w:b/>
          <w:bCs/>
          <w:color w:val="000000"/>
        </w:rPr>
        <w:t xml:space="preserve">2 </w:t>
      </w:r>
      <w:r>
        <w:rPr>
          <w:rFonts w:hint="eastAsia" w:ascii="宋体" w:hAnsi="宋体" w:cs="宋体"/>
          <w:color w:val="000000"/>
        </w:rPr>
        <w:t>信用评价机构应对受评主体提供的重要信用信息进行核准验证。具体要求：对受评主体的合法存续进行审验；对受评主体的资格、资质及知识产权等进行符合性认证；对受评主体的关键财务指标进行第三方数据验证等。受评</w:t>
      </w:r>
      <w:r>
        <w:rPr>
          <w:rFonts w:hint="eastAsia" w:ascii="宋体" w:hAnsi="宋体" w:cs="宋体"/>
          <w:color w:val="000000"/>
          <w:kern w:val="0"/>
        </w:rPr>
        <w:t>主体信用信息核实的方式包括：函电确认、数据分析、数据库查询、实地考察以及其他合法方式。评价机构在进行信息核实之后，应根据实际情况随时修改或补充相关资料，并建立完备的信息核实工作底稿。</w:t>
      </w:r>
    </w:p>
    <w:p>
      <w:pPr>
        <w:tabs>
          <w:tab w:val="left" w:pos="993"/>
        </w:tabs>
        <w:spacing w:line="360" w:lineRule="auto"/>
        <w:rPr>
          <w:rFonts w:ascii="宋体"/>
          <w:b/>
          <w:bCs/>
          <w:color w:val="000000"/>
        </w:rPr>
      </w:pPr>
      <w:r>
        <w:rPr>
          <w:rFonts w:ascii="宋体" w:hAnsi="宋体" w:cs="宋体"/>
          <w:b/>
          <w:bCs/>
          <w:color w:val="000000"/>
        </w:rPr>
        <w:t xml:space="preserve">4.2.3  </w:t>
      </w:r>
      <w:r>
        <w:rPr>
          <w:rFonts w:hint="eastAsia" w:ascii="宋体" w:hAnsi="宋体" w:cs="宋体"/>
          <w:b/>
          <w:bCs/>
          <w:color w:val="000000"/>
        </w:rPr>
        <w:t>初评阶段</w:t>
      </w:r>
    </w:p>
    <w:p>
      <w:pPr>
        <w:tabs>
          <w:tab w:val="left" w:pos="993"/>
        </w:tabs>
        <w:spacing w:line="360" w:lineRule="auto"/>
        <w:ind w:firstLine="420" w:firstLineChars="200"/>
        <w:rPr>
          <w:rFonts w:ascii="宋体"/>
          <w:color w:val="000000"/>
        </w:rPr>
      </w:pPr>
      <w:r>
        <w:rPr>
          <w:rFonts w:hint="eastAsia" w:ascii="宋体" w:hAnsi="宋体" w:cs="宋体"/>
          <w:color w:val="000000"/>
          <w:kern w:val="0"/>
        </w:rPr>
        <w:t>当受评主体的信用信息归集并核准审验完毕后，评价小组首先应对建筑装饰行业最近一个经济周期行业运营的特点与信用风险进行分析，然后对受评主体从定性和定量两个方面进行深入分析，引用本标准的指标体系和权重禀赋规则，完成信用评价报告的初稿，初步确定受评主体的信用等级。</w:t>
      </w:r>
    </w:p>
    <w:p>
      <w:pPr>
        <w:tabs>
          <w:tab w:val="left" w:pos="993"/>
        </w:tabs>
        <w:spacing w:line="360" w:lineRule="auto"/>
        <w:rPr>
          <w:rFonts w:ascii="宋体"/>
          <w:b/>
          <w:bCs/>
          <w:color w:val="000000"/>
        </w:rPr>
      </w:pPr>
      <w:r>
        <w:rPr>
          <w:rFonts w:ascii="宋体" w:hAnsi="宋体" w:cs="宋体"/>
          <w:b/>
          <w:bCs/>
          <w:color w:val="000000"/>
        </w:rPr>
        <w:t xml:space="preserve">4.2.4  </w:t>
      </w:r>
      <w:r>
        <w:rPr>
          <w:rFonts w:hint="eastAsia" w:ascii="宋体" w:hAnsi="宋体" w:cs="宋体"/>
          <w:b/>
          <w:bCs/>
          <w:color w:val="000000"/>
        </w:rPr>
        <w:t>等级确定</w:t>
      </w:r>
    </w:p>
    <w:p>
      <w:pPr>
        <w:tabs>
          <w:tab w:val="left" w:pos="993"/>
        </w:tabs>
        <w:spacing w:line="360" w:lineRule="auto"/>
        <w:ind w:firstLine="420" w:firstLineChars="200"/>
        <w:rPr>
          <w:rFonts w:ascii="宋体"/>
          <w:color w:val="000000"/>
        </w:rPr>
      </w:pPr>
      <w:r>
        <w:rPr>
          <w:rFonts w:hint="eastAsia" w:ascii="宋体" w:hAnsi="宋体" w:cs="宋体"/>
          <w:color w:val="000000"/>
          <w:kern w:val="0"/>
        </w:rPr>
        <w:t>评价小组向信用评价机构的内部信用评审委员会提交三级审核（评价小组负责人初审、部门负责人再审和评价总监三审）后的信用评价报告及工作底稿。内部信用评审委员会根据信用等级评定办法及级别限制条件，决定评价对象的信用等级。评价结果须经</w:t>
      </w:r>
      <w:r>
        <w:rPr>
          <w:rFonts w:ascii="宋体" w:hAnsi="宋体" w:cs="宋体"/>
          <w:color w:val="000000"/>
          <w:kern w:val="0"/>
        </w:rPr>
        <w:t>2/3</w:t>
      </w:r>
      <w:r>
        <w:rPr>
          <w:rFonts w:hint="eastAsia" w:ascii="宋体" w:hAnsi="宋体" w:cs="宋体"/>
          <w:color w:val="000000"/>
          <w:kern w:val="0"/>
        </w:rPr>
        <w:t>以上的与会评审委员同意方为有效。如果内部信用评审委员会无法确认信用等级，则将无法确认的原因反馈给信用评价小组，由信用评价小组重新核实相关数据、分析，直到内部信用评审委员会能够确定信用等级。</w:t>
      </w:r>
    </w:p>
    <w:p>
      <w:pPr>
        <w:tabs>
          <w:tab w:val="left" w:pos="993"/>
        </w:tabs>
        <w:spacing w:line="360" w:lineRule="auto"/>
        <w:rPr>
          <w:rFonts w:ascii="宋体"/>
          <w:b/>
          <w:bCs/>
          <w:color w:val="000000"/>
        </w:rPr>
      </w:pPr>
      <w:r>
        <w:rPr>
          <w:rFonts w:ascii="宋体" w:hAnsi="宋体" w:cs="宋体"/>
          <w:b/>
          <w:bCs/>
          <w:color w:val="000000"/>
        </w:rPr>
        <w:t xml:space="preserve">4.2.5  </w:t>
      </w:r>
      <w:r>
        <w:rPr>
          <w:rFonts w:hint="eastAsia" w:ascii="宋体" w:hAnsi="宋体" w:cs="宋体"/>
          <w:b/>
          <w:bCs/>
          <w:color w:val="000000"/>
        </w:rPr>
        <w:t>反馈与复评</w:t>
      </w:r>
    </w:p>
    <w:p>
      <w:pPr>
        <w:tabs>
          <w:tab w:val="left" w:pos="993"/>
        </w:tabs>
        <w:spacing w:line="360" w:lineRule="auto"/>
        <w:ind w:firstLine="420" w:firstLineChars="200"/>
        <w:rPr>
          <w:rFonts w:ascii="宋体"/>
          <w:color w:val="000000"/>
          <w:kern w:val="0"/>
        </w:rPr>
      </w:pPr>
      <w:r>
        <w:rPr>
          <w:rFonts w:hint="eastAsia" w:ascii="宋体" w:hAnsi="宋体" w:cs="宋体"/>
          <w:color w:val="000000"/>
          <w:kern w:val="0"/>
        </w:rPr>
        <w:t>信用评价机构在评价结果确定后，将信用评价报告及意见反馈表送交受评主体，受评主体应当在规定期限内反馈意见。信用评价机构对受评主体意见的处理方式为：</w:t>
      </w:r>
    </w:p>
    <w:p>
      <w:pPr>
        <w:tabs>
          <w:tab w:val="left" w:pos="0"/>
          <w:tab w:val="left" w:pos="993"/>
        </w:tabs>
        <w:spacing w:line="360" w:lineRule="auto"/>
        <w:ind w:left="420"/>
        <w:rPr>
          <w:rFonts w:ascii="宋体"/>
          <w:color w:val="000000"/>
          <w:kern w:val="0"/>
        </w:rPr>
      </w:pPr>
      <w:r>
        <w:rPr>
          <w:rFonts w:ascii="宋体" w:hAnsi="宋体" w:cs="宋体"/>
          <w:b/>
          <w:bCs/>
          <w:color w:val="000000"/>
          <w:kern w:val="0"/>
        </w:rPr>
        <w:t>1</w:t>
      </w:r>
      <w:r>
        <w:rPr>
          <w:rFonts w:ascii="宋体" w:hAnsi="宋体" w:cs="宋体"/>
          <w:color w:val="000000"/>
          <w:kern w:val="0"/>
        </w:rPr>
        <w:t xml:space="preserve">  </w:t>
      </w:r>
      <w:r>
        <w:rPr>
          <w:rFonts w:hint="eastAsia" w:ascii="宋体" w:hAnsi="宋体" w:cs="宋体"/>
          <w:color w:val="000000"/>
          <w:kern w:val="0"/>
        </w:rPr>
        <w:t>如果受评主体对评价结果没有异议，则评价结果为最终信用级别；</w:t>
      </w:r>
    </w:p>
    <w:p>
      <w:pPr>
        <w:tabs>
          <w:tab w:val="left" w:pos="0"/>
          <w:tab w:val="left" w:pos="993"/>
        </w:tabs>
        <w:spacing w:line="360" w:lineRule="auto"/>
        <w:ind w:firstLine="420" w:firstLineChars="199"/>
        <w:rPr>
          <w:rFonts w:ascii="宋体"/>
          <w:color w:val="000000"/>
        </w:rPr>
      </w:pPr>
      <w:r>
        <w:rPr>
          <w:rFonts w:ascii="宋体" w:hAnsi="宋体" w:cs="宋体"/>
          <w:b/>
          <w:bCs/>
          <w:color w:val="000000"/>
          <w:kern w:val="0"/>
        </w:rPr>
        <w:t>2</w:t>
      </w:r>
      <w:r>
        <w:rPr>
          <w:rFonts w:ascii="宋体" w:hAnsi="宋体" w:cs="宋体"/>
          <w:color w:val="000000"/>
          <w:kern w:val="0"/>
        </w:rPr>
        <w:t xml:space="preserve">  </w:t>
      </w:r>
      <w:r>
        <w:rPr>
          <w:rFonts w:hint="eastAsia" w:ascii="宋体" w:hAnsi="宋体" w:cs="宋体"/>
          <w:color w:val="000000"/>
          <w:kern w:val="0"/>
        </w:rPr>
        <w:t>如果受评主体对评价结果有异议，并在规定的时限内向评价机构提出复评申请并提供补充材料，则内部信用评审委员会则可指示评价小组进行复评；</w:t>
      </w:r>
    </w:p>
    <w:p>
      <w:pPr>
        <w:tabs>
          <w:tab w:val="left" w:pos="0"/>
          <w:tab w:val="left" w:pos="993"/>
        </w:tabs>
        <w:spacing w:line="360" w:lineRule="auto"/>
        <w:ind w:firstLine="420" w:firstLineChars="199"/>
        <w:rPr>
          <w:rFonts w:ascii="宋体"/>
          <w:color w:val="000000"/>
        </w:rPr>
      </w:pPr>
      <w:r>
        <w:rPr>
          <w:rFonts w:ascii="宋体" w:hAnsi="宋体" w:cs="宋体"/>
          <w:b/>
          <w:bCs/>
          <w:color w:val="000000"/>
          <w:kern w:val="0"/>
        </w:rPr>
        <w:t>3</w:t>
      </w:r>
      <w:r>
        <w:rPr>
          <w:rFonts w:ascii="宋体" w:hAnsi="宋体" w:cs="宋体"/>
          <w:color w:val="000000"/>
          <w:kern w:val="0"/>
        </w:rPr>
        <w:t xml:space="preserve">  </w:t>
      </w:r>
      <w:r>
        <w:rPr>
          <w:rFonts w:hint="eastAsia" w:ascii="宋体" w:hAnsi="宋体" w:cs="宋体"/>
          <w:color w:val="000000"/>
          <w:kern w:val="0"/>
        </w:rPr>
        <w:t>如果受评主体对评价结果有异议，但不能在规定的时限内提供充分、有效的补充材料，则信用评价机构可不受理复评请求；</w:t>
      </w:r>
    </w:p>
    <w:p>
      <w:pPr>
        <w:tabs>
          <w:tab w:val="left" w:pos="0"/>
          <w:tab w:val="left" w:pos="993"/>
        </w:tabs>
        <w:spacing w:line="360" w:lineRule="auto"/>
        <w:ind w:left="420"/>
        <w:rPr>
          <w:rFonts w:ascii="宋体"/>
          <w:color w:val="000000"/>
        </w:rPr>
      </w:pPr>
      <w:r>
        <w:rPr>
          <w:rFonts w:hint="eastAsia" w:ascii="宋体" w:hAnsi="宋体" w:cs="宋体"/>
          <w:color w:val="000000"/>
          <w:kern w:val="0"/>
        </w:rPr>
        <w:t>内部信用评审委员会受理复评后，评价小组根据补充的材料进行复评，复评仅限一次。</w:t>
      </w:r>
    </w:p>
    <w:p>
      <w:pPr>
        <w:tabs>
          <w:tab w:val="left" w:pos="993"/>
        </w:tabs>
        <w:spacing w:line="360" w:lineRule="auto"/>
        <w:rPr>
          <w:rFonts w:ascii="宋体"/>
          <w:b/>
          <w:bCs/>
          <w:color w:val="000000"/>
          <w:kern w:val="0"/>
        </w:rPr>
      </w:pPr>
      <w:r>
        <w:rPr>
          <w:rFonts w:ascii="宋体" w:hAnsi="宋体" w:cs="宋体"/>
          <w:b/>
          <w:bCs/>
          <w:color w:val="000000"/>
          <w:kern w:val="0"/>
        </w:rPr>
        <w:t xml:space="preserve">4.2.6  </w:t>
      </w:r>
      <w:r>
        <w:rPr>
          <w:rFonts w:hint="eastAsia" w:ascii="宋体" w:hAnsi="宋体" w:cs="宋体"/>
          <w:b/>
          <w:bCs/>
          <w:color w:val="000000"/>
          <w:kern w:val="0"/>
        </w:rPr>
        <w:t>结果公示：</w:t>
      </w:r>
    </w:p>
    <w:p>
      <w:pPr>
        <w:tabs>
          <w:tab w:val="left" w:pos="993"/>
        </w:tabs>
        <w:spacing w:line="360" w:lineRule="auto"/>
        <w:ind w:firstLine="420" w:firstLineChars="200"/>
        <w:rPr>
          <w:rFonts w:ascii="宋体"/>
          <w:color w:val="000000"/>
        </w:rPr>
      </w:pPr>
      <w:r>
        <w:rPr>
          <w:rFonts w:hint="eastAsia" w:ascii="宋体" w:hAnsi="宋体" w:cs="宋体"/>
          <w:color w:val="000000"/>
          <w:kern w:val="0"/>
        </w:rPr>
        <w:t>中国建筑装饰行业企业主体信用评价的结果在中国建筑装饰协会官网统一发布。</w:t>
      </w:r>
    </w:p>
    <w:p>
      <w:pPr>
        <w:tabs>
          <w:tab w:val="left" w:pos="993"/>
        </w:tabs>
        <w:spacing w:line="360" w:lineRule="auto"/>
        <w:rPr>
          <w:rFonts w:ascii="宋体"/>
          <w:b/>
          <w:bCs/>
          <w:color w:val="000000"/>
          <w:kern w:val="0"/>
        </w:rPr>
      </w:pPr>
      <w:r>
        <w:rPr>
          <w:rFonts w:ascii="宋体" w:hAnsi="宋体" w:cs="宋体"/>
          <w:b/>
          <w:bCs/>
          <w:color w:val="000000"/>
          <w:kern w:val="0"/>
        </w:rPr>
        <w:t xml:space="preserve">4.2.7  </w:t>
      </w:r>
      <w:r>
        <w:rPr>
          <w:rFonts w:hint="eastAsia" w:ascii="宋体" w:hAnsi="宋体" w:cs="宋体"/>
          <w:b/>
          <w:bCs/>
          <w:color w:val="000000"/>
          <w:kern w:val="0"/>
        </w:rPr>
        <w:t>跟踪与复评</w:t>
      </w:r>
    </w:p>
    <w:p>
      <w:pPr>
        <w:tabs>
          <w:tab w:val="left" w:pos="993"/>
        </w:tabs>
        <w:spacing w:line="360" w:lineRule="auto"/>
        <w:ind w:firstLine="422" w:firstLineChars="200"/>
        <w:rPr>
          <w:rFonts w:ascii="宋体"/>
          <w:color w:val="000000"/>
          <w:kern w:val="0"/>
        </w:rPr>
      </w:pPr>
      <w:r>
        <w:rPr>
          <w:rFonts w:ascii="宋体" w:hAnsi="宋体" w:cs="宋体"/>
          <w:b/>
          <w:bCs/>
          <w:color w:val="000000"/>
          <w:kern w:val="0"/>
        </w:rPr>
        <w:t xml:space="preserve">1  </w:t>
      </w:r>
      <w:r>
        <w:rPr>
          <w:rFonts w:hint="eastAsia" w:ascii="宋体" w:hAnsi="宋体" w:cs="宋体"/>
          <w:color w:val="000000"/>
          <w:kern w:val="0"/>
        </w:rPr>
        <w:t>在信用等级时效限定期内，信用评价机构应密切关注受评主体的信息、可能引起受评主体信用等级变化的因素及趋势，保证信用评价资料的及时更新；</w:t>
      </w:r>
    </w:p>
    <w:p>
      <w:pPr>
        <w:tabs>
          <w:tab w:val="left" w:pos="993"/>
        </w:tabs>
        <w:spacing w:line="360" w:lineRule="auto"/>
        <w:ind w:firstLine="422" w:firstLineChars="200"/>
        <w:rPr>
          <w:rFonts w:ascii="宋体"/>
          <w:color w:val="000000"/>
          <w:kern w:val="0"/>
        </w:rPr>
      </w:pPr>
      <w:r>
        <w:rPr>
          <w:rFonts w:ascii="宋体" w:hAnsi="宋体" w:cs="宋体"/>
          <w:b/>
          <w:bCs/>
          <w:color w:val="000000"/>
          <w:kern w:val="0"/>
        </w:rPr>
        <w:t xml:space="preserve">2  </w:t>
      </w:r>
      <w:r>
        <w:rPr>
          <w:rFonts w:hint="eastAsia" w:ascii="宋体" w:hAnsi="宋体" w:cs="宋体"/>
          <w:color w:val="000000"/>
          <w:kern w:val="0"/>
        </w:rPr>
        <w:t>在信用等级有效期过后，评价机构应按照信用等级复评安排继续进行评价服务；</w:t>
      </w:r>
    </w:p>
    <w:p>
      <w:pPr>
        <w:tabs>
          <w:tab w:val="left" w:pos="993"/>
        </w:tabs>
        <w:spacing w:line="360" w:lineRule="auto"/>
        <w:ind w:firstLine="422" w:firstLineChars="200"/>
        <w:rPr>
          <w:rFonts w:ascii="宋体"/>
          <w:color w:val="000000"/>
        </w:rPr>
      </w:pPr>
      <w:r>
        <w:rPr>
          <w:rFonts w:ascii="宋体" w:hAnsi="宋体" w:cs="宋体"/>
          <w:b/>
          <w:bCs/>
          <w:color w:val="000000"/>
          <w:kern w:val="0"/>
        </w:rPr>
        <w:t xml:space="preserve">3  </w:t>
      </w:r>
      <w:r>
        <w:rPr>
          <w:rFonts w:hint="eastAsia" w:ascii="宋体" w:hAnsi="宋体" w:cs="宋体"/>
          <w:color w:val="000000"/>
          <w:kern w:val="0"/>
        </w:rPr>
        <w:t>复评的信用评价报告应当与前次信用评价报告保持连贯，且复评结果按照本行业标准</w:t>
      </w:r>
      <w:r>
        <w:rPr>
          <w:rFonts w:ascii="宋体" w:hAnsi="宋体" w:cs="宋体"/>
          <w:color w:val="000000"/>
          <w:kern w:val="0"/>
        </w:rPr>
        <w:t>4.2.6</w:t>
      </w:r>
      <w:r>
        <w:rPr>
          <w:rFonts w:hint="eastAsia" w:ascii="宋体" w:hAnsi="宋体" w:cs="宋体"/>
          <w:color w:val="000000"/>
          <w:kern w:val="0"/>
        </w:rPr>
        <w:t>的规定发布。</w:t>
      </w:r>
    </w:p>
    <w:p>
      <w:pPr>
        <w:spacing w:line="360" w:lineRule="auto"/>
        <w:jc w:val="left"/>
        <w:rPr>
          <w:rFonts w:ascii="宋体"/>
          <w:b/>
          <w:bCs/>
          <w:color w:val="000000"/>
        </w:rPr>
      </w:pPr>
      <w:bookmarkStart w:id="29" w:name="_Toc396315857"/>
      <w:bookmarkStart w:id="30" w:name="_Toc129004643"/>
      <w:bookmarkStart w:id="31" w:name="_Toc150583014"/>
      <w:bookmarkStart w:id="32" w:name="_Toc129004493"/>
      <w:bookmarkStart w:id="33" w:name="_Toc128908833"/>
      <w:bookmarkStart w:id="34" w:name="_Toc129004579"/>
      <w:bookmarkStart w:id="35" w:name="_Toc128908887"/>
      <w:r>
        <w:rPr>
          <w:rFonts w:ascii="宋体" w:hAnsi="宋体" w:cs="宋体"/>
          <w:b/>
          <w:bCs/>
          <w:color w:val="000000"/>
        </w:rPr>
        <w:t xml:space="preserve">4.3 </w:t>
      </w:r>
      <w:bookmarkEnd w:id="29"/>
      <w:r>
        <w:rPr>
          <w:rFonts w:hint="eastAsia" w:ascii="宋体" w:hAnsi="宋体" w:cs="宋体"/>
          <w:b/>
          <w:bCs/>
          <w:color w:val="000000"/>
        </w:rPr>
        <w:t>信息管理</w:t>
      </w:r>
    </w:p>
    <w:p>
      <w:pPr>
        <w:widowControl/>
        <w:tabs>
          <w:tab w:val="left" w:pos="993"/>
        </w:tabs>
        <w:spacing w:line="360" w:lineRule="auto"/>
        <w:jc w:val="left"/>
        <w:rPr>
          <w:rFonts w:ascii="宋体"/>
          <w:color w:val="000000"/>
          <w:kern w:val="0"/>
        </w:rPr>
      </w:pPr>
      <w:bookmarkStart w:id="36" w:name="_Toc396315858"/>
      <w:r>
        <w:rPr>
          <w:rFonts w:ascii="宋体" w:hAnsi="宋体" w:cs="宋体"/>
          <w:b/>
          <w:bCs/>
          <w:color w:val="000000"/>
        </w:rPr>
        <w:t xml:space="preserve">4.3.1  </w:t>
      </w:r>
      <w:r>
        <w:rPr>
          <w:rFonts w:hint="eastAsia" w:ascii="宋体" w:hAnsi="宋体" w:cs="宋体"/>
          <w:color w:val="000000"/>
        </w:rPr>
        <w:t>信用评价机构应对受评主体的原始资料、信用评价过程中的文字资料进行分类整理，作为工作底稿存档。</w:t>
      </w:r>
    </w:p>
    <w:p>
      <w:pPr>
        <w:widowControl/>
        <w:tabs>
          <w:tab w:val="left" w:pos="993"/>
        </w:tabs>
        <w:spacing w:line="360" w:lineRule="auto"/>
        <w:jc w:val="left"/>
        <w:rPr>
          <w:rFonts w:ascii="宋体"/>
          <w:color w:val="000000"/>
          <w:kern w:val="0"/>
        </w:rPr>
      </w:pPr>
      <w:r>
        <w:rPr>
          <w:rFonts w:ascii="宋体" w:hAnsi="宋体" w:cs="宋体"/>
          <w:b/>
          <w:bCs/>
          <w:color w:val="000000"/>
        </w:rPr>
        <w:t xml:space="preserve">4.3.2  </w:t>
      </w:r>
      <w:r>
        <w:rPr>
          <w:rFonts w:hint="eastAsia" w:ascii="宋体" w:hAnsi="宋体" w:cs="宋体"/>
          <w:color w:val="000000"/>
        </w:rPr>
        <w:t>信用评价机构从受评主体直接获取的资料应按照保密级别归档；对受评主体特别要求保密的文件，应作为机密文件单独存档。</w:t>
      </w:r>
    </w:p>
    <w:bookmarkEnd w:id="30"/>
    <w:bookmarkEnd w:id="31"/>
    <w:bookmarkEnd w:id="32"/>
    <w:bookmarkEnd w:id="33"/>
    <w:bookmarkEnd w:id="34"/>
    <w:bookmarkEnd w:id="35"/>
    <w:bookmarkEnd w:id="36"/>
    <w:p>
      <w:pPr>
        <w:spacing w:before="1"/>
        <w:ind w:left="904"/>
        <w:jc w:val="left"/>
        <w:outlineLvl w:val="0"/>
        <w:rPr>
          <w:rFonts w:ascii="宋体"/>
          <w:b/>
          <w:bCs/>
          <w:color w:val="000000"/>
          <w:sz w:val="32"/>
          <w:szCs w:val="32"/>
        </w:rPr>
      </w:pPr>
      <w:bookmarkStart w:id="37" w:name="_Toc396315861"/>
      <w:bookmarkStart w:id="38" w:name="_Toc475950070"/>
      <w:r>
        <w:rPr>
          <w:rFonts w:ascii="宋体" w:hAnsi="宋体" w:cs="宋体"/>
          <w:b/>
          <w:bCs/>
          <w:color w:val="000000"/>
          <w:sz w:val="32"/>
          <w:szCs w:val="32"/>
        </w:rPr>
        <w:t xml:space="preserve">5 </w:t>
      </w:r>
      <w:r>
        <w:rPr>
          <w:rFonts w:hint="eastAsia" w:ascii="宋体" w:hAnsi="宋体" w:cs="宋体"/>
          <w:b/>
          <w:bCs/>
          <w:color w:val="000000"/>
          <w:sz w:val="32"/>
          <w:szCs w:val="32"/>
        </w:rPr>
        <w:t>信用评价方法</w:t>
      </w:r>
      <w:bookmarkEnd w:id="37"/>
      <w:bookmarkEnd w:id="38"/>
    </w:p>
    <w:p>
      <w:pPr>
        <w:spacing w:line="360" w:lineRule="auto"/>
        <w:jc w:val="left"/>
        <w:rPr>
          <w:rFonts w:ascii="宋体"/>
          <w:b/>
          <w:bCs/>
          <w:color w:val="000000"/>
        </w:rPr>
      </w:pPr>
      <w:bookmarkStart w:id="39" w:name="_Toc351128797"/>
      <w:bookmarkStart w:id="40" w:name="_Toc310000285"/>
      <w:r>
        <w:rPr>
          <w:rFonts w:ascii="宋体" w:hAnsi="宋体" w:cs="宋体"/>
          <w:b/>
          <w:bCs/>
          <w:color w:val="000000"/>
        </w:rPr>
        <w:t xml:space="preserve">5.1 </w:t>
      </w:r>
      <w:r>
        <w:rPr>
          <w:rFonts w:hint="eastAsia" w:ascii="宋体" w:hAnsi="宋体" w:cs="宋体"/>
          <w:b/>
          <w:bCs/>
          <w:color w:val="000000"/>
        </w:rPr>
        <w:t>指导思想</w:t>
      </w:r>
      <w:bookmarkEnd w:id="39"/>
      <w:bookmarkEnd w:id="40"/>
    </w:p>
    <w:p>
      <w:pPr>
        <w:widowControl/>
        <w:spacing w:line="360" w:lineRule="auto"/>
        <w:jc w:val="left"/>
        <w:rPr>
          <w:rFonts w:ascii="宋体"/>
          <w:color w:val="000000"/>
        </w:rPr>
      </w:pPr>
      <w:r>
        <w:rPr>
          <w:rFonts w:ascii="宋体" w:hAnsi="宋体" w:cs="宋体"/>
          <w:b/>
          <w:bCs/>
          <w:color w:val="000000"/>
        </w:rPr>
        <w:t xml:space="preserve">5.1.1   </w:t>
      </w:r>
      <w:r>
        <w:rPr>
          <w:rFonts w:hint="eastAsia" w:ascii="宋体" w:hAnsi="宋体" w:cs="宋体"/>
          <w:color w:val="000000"/>
        </w:rPr>
        <w:t>中国建筑装饰行业企业主体信用评价方法构建的指导思想是：</w:t>
      </w:r>
    </w:p>
    <w:p>
      <w:pPr>
        <w:widowControl/>
        <w:tabs>
          <w:tab w:val="left" w:pos="1134"/>
        </w:tabs>
        <w:spacing w:line="360" w:lineRule="auto"/>
        <w:ind w:left="480"/>
        <w:jc w:val="left"/>
        <w:rPr>
          <w:rFonts w:ascii="宋体"/>
          <w:color w:val="000000"/>
        </w:rPr>
      </w:pPr>
      <w:r>
        <w:rPr>
          <w:rFonts w:ascii="宋体" w:hAnsi="宋体" w:cs="宋体"/>
          <w:b/>
          <w:bCs/>
          <w:color w:val="000000"/>
        </w:rPr>
        <w:t xml:space="preserve">1  </w:t>
      </w:r>
      <w:r>
        <w:rPr>
          <w:rFonts w:hint="eastAsia" w:ascii="宋体" w:hAnsi="宋体" w:cs="宋体"/>
          <w:color w:val="000000"/>
        </w:rPr>
        <w:t>遵循国际信用评价市场普遍接受的信用评价的价值观、理念及指标框架的原则；</w:t>
      </w:r>
    </w:p>
    <w:p>
      <w:pPr>
        <w:widowControl/>
        <w:tabs>
          <w:tab w:val="left" w:pos="1134"/>
        </w:tabs>
        <w:spacing w:line="360" w:lineRule="auto"/>
        <w:ind w:left="480"/>
        <w:jc w:val="left"/>
        <w:rPr>
          <w:rFonts w:ascii="宋体"/>
          <w:color w:val="000000"/>
        </w:rPr>
      </w:pPr>
      <w:r>
        <w:rPr>
          <w:rFonts w:ascii="宋体" w:hAnsi="宋体" w:cs="宋体"/>
          <w:b/>
          <w:bCs/>
          <w:color w:val="000000"/>
        </w:rPr>
        <w:t xml:space="preserve">2  </w:t>
      </w:r>
      <w:r>
        <w:rPr>
          <w:rFonts w:hint="eastAsia" w:ascii="宋体" w:hAnsi="宋体" w:cs="宋体"/>
          <w:color w:val="000000"/>
        </w:rPr>
        <w:t>坚持定性分析与定量分析相结合的方法论；</w:t>
      </w:r>
    </w:p>
    <w:p>
      <w:pPr>
        <w:widowControl/>
        <w:tabs>
          <w:tab w:val="left" w:pos="1134"/>
        </w:tabs>
        <w:spacing w:line="360" w:lineRule="auto"/>
        <w:ind w:firstLine="529" w:firstLineChars="251"/>
        <w:jc w:val="left"/>
        <w:rPr>
          <w:rFonts w:ascii="宋体"/>
          <w:color w:val="000000"/>
        </w:rPr>
      </w:pPr>
      <w:r>
        <w:rPr>
          <w:rFonts w:ascii="宋体" w:hAnsi="宋体" w:cs="宋体"/>
          <w:b/>
          <w:bCs/>
          <w:color w:val="000000"/>
        </w:rPr>
        <w:t xml:space="preserve">3  </w:t>
      </w:r>
      <w:r>
        <w:rPr>
          <w:rFonts w:hint="eastAsia" w:ascii="宋体" w:hAnsi="宋体" w:cs="宋体"/>
          <w:color w:val="000000"/>
        </w:rPr>
        <w:t>充分考虑中国现行法律、政策环境、标准的兼容性和一致性以及信用评价过程中信用数据的质量与可获取性、评价过程的可操作性原则；</w:t>
      </w:r>
    </w:p>
    <w:p>
      <w:pPr>
        <w:widowControl/>
        <w:tabs>
          <w:tab w:val="left" w:pos="1134"/>
        </w:tabs>
        <w:spacing w:line="360" w:lineRule="auto"/>
        <w:ind w:firstLine="424" w:firstLineChars="201"/>
        <w:jc w:val="left"/>
        <w:rPr>
          <w:rFonts w:ascii="宋体"/>
          <w:color w:val="000000"/>
        </w:rPr>
      </w:pPr>
      <w:r>
        <w:rPr>
          <w:rFonts w:ascii="宋体" w:hAnsi="宋体" w:cs="宋体"/>
          <w:b/>
          <w:bCs/>
          <w:color w:val="000000"/>
        </w:rPr>
        <w:t xml:space="preserve">4  </w:t>
      </w:r>
      <w:r>
        <w:rPr>
          <w:rFonts w:hint="eastAsia" w:ascii="宋体" w:hAnsi="宋体" w:cs="宋体"/>
          <w:color w:val="000000"/>
        </w:rPr>
        <w:t>充分尊重中国法律和政府监管机构对工程类企业资质、考核、认证以及市场准入等司法与行政管理方面的规定等。</w:t>
      </w:r>
    </w:p>
    <w:p>
      <w:pPr>
        <w:widowControl/>
        <w:tabs>
          <w:tab w:val="left" w:pos="1134"/>
        </w:tabs>
        <w:spacing w:line="360" w:lineRule="auto"/>
        <w:jc w:val="left"/>
        <w:rPr>
          <w:rFonts w:ascii="宋体"/>
          <w:b/>
          <w:bCs/>
          <w:color w:val="000000"/>
        </w:rPr>
      </w:pPr>
      <w:r>
        <w:rPr>
          <w:rFonts w:ascii="宋体" w:hAnsi="宋体" w:cs="宋体"/>
          <w:b/>
          <w:bCs/>
          <w:color w:val="000000"/>
        </w:rPr>
        <w:t xml:space="preserve">5.2 </w:t>
      </w:r>
      <w:r>
        <w:rPr>
          <w:rFonts w:hint="eastAsia" w:ascii="宋体" w:hAnsi="宋体" w:cs="宋体"/>
          <w:b/>
          <w:bCs/>
          <w:color w:val="000000"/>
        </w:rPr>
        <w:t>信用评价的基本含义</w:t>
      </w:r>
    </w:p>
    <w:p>
      <w:pPr>
        <w:widowControl/>
        <w:tabs>
          <w:tab w:val="left" w:pos="1134"/>
        </w:tabs>
        <w:spacing w:line="360" w:lineRule="auto"/>
        <w:ind w:firstLine="424" w:firstLineChars="202"/>
        <w:rPr>
          <w:rFonts w:ascii="宋体"/>
          <w:color w:val="000000"/>
          <w:kern w:val="44"/>
        </w:rPr>
      </w:pPr>
      <w:r>
        <w:rPr>
          <w:rFonts w:hint="eastAsia" w:ascii="宋体" w:hAnsi="宋体" w:cs="宋体"/>
          <w:color w:val="000000"/>
        </w:rPr>
        <w:t>中国建筑装饰行业企业信用等级评价首先是对受评主体</w:t>
      </w:r>
      <w:r>
        <w:rPr>
          <w:rFonts w:hint="eastAsia" w:ascii="宋体" w:hAnsi="宋体" w:cs="宋体"/>
          <w:color w:val="000000"/>
          <w:kern w:val="0"/>
        </w:rPr>
        <w:t>其资格、资质等进行符合性认证，以确认其合法存续且</w:t>
      </w:r>
      <w:r>
        <w:rPr>
          <w:rFonts w:hint="eastAsia" w:ascii="宋体" w:hAnsi="宋体" w:cs="宋体"/>
          <w:color w:val="000000"/>
          <w:kern w:val="44"/>
        </w:rPr>
        <w:t>具有独立承担民事责任的能力</w:t>
      </w:r>
      <w:r>
        <w:rPr>
          <w:rFonts w:hint="eastAsia" w:ascii="宋体" w:hAnsi="宋体" w:cs="宋体"/>
          <w:color w:val="000000"/>
          <w:kern w:val="0"/>
        </w:rPr>
        <w:t>、具有从事本行业</w:t>
      </w:r>
      <w:r>
        <w:rPr>
          <w:rFonts w:hint="eastAsia" w:ascii="宋体" w:hAnsi="宋体" w:cs="宋体"/>
          <w:color w:val="000000"/>
          <w:kern w:val="44"/>
        </w:rPr>
        <w:t>所必需的设备和专业技术的能力以及具有履行合同和社会责任的能力。在此前提条件下，再对其</w:t>
      </w:r>
      <w:r>
        <w:rPr>
          <w:rFonts w:hint="eastAsia" w:ascii="宋体" w:hAnsi="宋体" w:cs="宋体"/>
          <w:color w:val="000000"/>
        </w:rPr>
        <w:t>长期的信用状况和经营的稳定性进行的评估，即对受评主体的信用违约风险以及受评主体在外部环境变化时其主体</w:t>
      </w:r>
      <w:r>
        <w:rPr>
          <w:rFonts w:hint="eastAsia" w:ascii="宋体" w:hAnsi="宋体" w:cs="宋体"/>
          <w:color w:val="000000"/>
          <w:kern w:val="0"/>
        </w:rPr>
        <w:t>自身的适应能力</w:t>
      </w:r>
      <w:r>
        <w:rPr>
          <w:rFonts w:hint="eastAsia" w:ascii="宋体" w:hAnsi="宋体" w:cs="宋体"/>
          <w:color w:val="000000"/>
        </w:rPr>
        <w:t>进行评价，并对其信用风险临界表现给与说明。</w:t>
      </w:r>
    </w:p>
    <w:p>
      <w:pPr>
        <w:widowControl/>
        <w:tabs>
          <w:tab w:val="left" w:pos="1134"/>
        </w:tabs>
        <w:spacing w:line="360" w:lineRule="auto"/>
        <w:jc w:val="left"/>
        <w:rPr>
          <w:rFonts w:ascii="宋体"/>
          <w:b/>
          <w:bCs/>
          <w:color w:val="000000"/>
        </w:rPr>
      </w:pPr>
      <w:r>
        <w:rPr>
          <w:rFonts w:ascii="宋体" w:hAnsi="宋体" w:cs="宋体"/>
          <w:b/>
          <w:bCs/>
          <w:color w:val="000000"/>
        </w:rPr>
        <w:t xml:space="preserve">5.3 </w:t>
      </w:r>
      <w:r>
        <w:rPr>
          <w:rFonts w:hint="eastAsia" w:ascii="宋体" w:hAnsi="宋体" w:cs="宋体"/>
          <w:b/>
          <w:bCs/>
          <w:color w:val="000000"/>
        </w:rPr>
        <w:t>信用评价方法及分析内容</w:t>
      </w:r>
    </w:p>
    <w:p>
      <w:pPr>
        <w:widowControl/>
        <w:tabs>
          <w:tab w:val="left" w:pos="1134"/>
        </w:tabs>
        <w:spacing w:line="360" w:lineRule="auto"/>
        <w:jc w:val="left"/>
        <w:rPr>
          <w:rFonts w:ascii="宋体"/>
          <w:b/>
          <w:bCs/>
          <w:color w:val="000000"/>
        </w:rPr>
      </w:pPr>
      <w:r>
        <w:rPr>
          <w:rFonts w:ascii="宋体" w:hAnsi="宋体" w:cs="宋体"/>
          <w:b/>
          <w:bCs/>
          <w:color w:val="000000"/>
        </w:rPr>
        <w:t xml:space="preserve">5.3.1  </w:t>
      </w:r>
      <w:r>
        <w:rPr>
          <w:rFonts w:hint="eastAsia" w:ascii="宋体" w:hAnsi="宋体" w:cs="宋体"/>
          <w:b/>
          <w:bCs/>
          <w:color w:val="000000"/>
        </w:rPr>
        <w:t>信用评价方法概述</w:t>
      </w:r>
    </w:p>
    <w:p>
      <w:pPr>
        <w:widowControl/>
        <w:tabs>
          <w:tab w:val="left" w:pos="1134"/>
        </w:tabs>
        <w:spacing w:line="360" w:lineRule="auto"/>
        <w:ind w:firstLine="426" w:firstLineChars="202"/>
        <w:jc w:val="left"/>
        <w:rPr>
          <w:rFonts w:ascii="宋体"/>
          <w:color w:val="000000"/>
        </w:rPr>
      </w:pPr>
      <w:r>
        <w:rPr>
          <w:rFonts w:ascii="宋体" w:hAnsi="宋体" w:cs="宋体"/>
          <w:b/>
          <w:bCs/>
          <w:color w:val="000000"/>
        </w:rPr>
        <w:t xml:space="preserve">1  </w:t>
      </w:r>
      <w:r>
        <w:rPr>
          <w:rFonts w:hint="eastAsia" w:ascii="宋体" w:hAnsi="宋体" w:cs="宋体"/>
          <w:color w:val="000000"/>
        </w:rPr>
        <w:t>中国建筑装饰行业企业主体信用评价应采用定性与定量相结合的方法，分析宏观及区域经济环境、产业发展趋势、经济政策和监管措施等外部因素对行业的影响；分析受评主体的基本经营情况、管理素质、竞争地位、运营效率、财务实力。</w:t>
      </w:r>
    </w:p>
    <w:p>
      <w:pPr>
        <w:widowControl/>
        <w:tabs>
          <w:tab w:val="left" w:pos="1134"/>
        </w:tabs>
        <w:spacing w:line="360" w:lineRule="auto"/>
        <w:ind w:firstLine="426" w:firstLineChars="202"/>
        <w:jc w:val="left"/>
        <w:rPr>
          <w:rFonts w:ascii="宋体"/>
          <w:color w:val="000000"/>
          <w:kern w:val="0"/>
        </w:rPr>
      </w:pPr>
      <w:r>
        <w:rPr>
          <w:rFonts w:ascii="宋体" w:hAnsi="宋体" w:cs="宋体"/>
          <w:b/>
          <w:bCs/>
          <w:color w:val="000000"/>
        </w:rPr>
        <w:t xml:space="preserve">2  </w:t>
      </w:r>
      <w:r>
        <w:rPr>
          <w:rFonts w:hint="eastAsia" w:ascii="宋体" w:hAnsi="宋体" w:cs="宋体"/>
          <w:color w:val="000000"/>
        </w:rPr>
        <w:t>对受评主体的企业资质、基本素质、公司治理、经营管理等可采用评分方法进行评价；对受评主体的竞争地位、运营效率以及信用风险等则应采用计量模型方法评价。</w:t>
      </w:r>
    </w:p>
    <w:p>
      <w:pPr>
        <w:widowControl/>
        <w:tabs>
          <w:tab w:val="left" w:pos="1134"/>
        </w:tabs>
        <w:spacing w:line="360" w:lineRule="auto"/>
        <w:jc w:val="left"/>
        <w:rPr>
          <w:rFonts w:ascii="宋体"/>
          <w:b/>
          <w:bCs/>
          <w:color w:val="000000"/>
          <w:kern w:val="0"/>
        </w:rPr>
      </w:pPr>
      <w:r>
        <w:rPr>
          <w:rFonts w:ascii="宋体" w:hAnsi="宋体" w:cs="宋体"/>
          <w:b/>
          <w:bCs/>
          <w:color w:val="000000"/>
          <w:kern w:val="0"/>
        </w:rPr>
        <w:t xml:space="preserve">5.3.2  </w:t>
      </w:r>
      <w:r>
        <w:rPr>
          <w:rFonts w:hint="eastAsia" w:ascii="宋体" w:hAnsi="宋体" w:cs="宋体"/>
          <w:b/>
          <w:bCs/>
          <w:color w:val="000000"/>
          <w:kern w:val="0"/>
        </w:rPr>
        <w:t>行业特征及发展趋势分析</w:t>
      </w:r>
    </w:p>
    <w:p>
      <w:pPr>
        <w:widowControl/>
        <w:tabs>
          <w:tab w:val="left" w:pos="1134"/>
        </w:tabs>
        <w:spacing w:line="360" w:lineRule="auto"/>
        <w:ind w:firstLine="422" w:firstLineChars="200"/>
        <w:jc w:val="left"/>
        <w:rPr>
          <w:rFonts w:ascii="宋体"/>
          <w:color w:val="000000"/>
        </w:rPr>
      </w:pPr>
      <w:r>
        <w:rPr>
          <w:rFonts w:ascii="宋体" w:hAnsi="宋体" w:cs="宋体"/>
          <w:b/>
          <w:bCs/>
          <w:color w:val="000000"/>
        </w:rPr>
        <w:t xml:space="preserve">1  </w:t>
      </w:r>
      <w:r>
        <w:rPr>
          <w:rFonts w:hint="eastAsia" w:ascii="宋体" w:hAnsi="宋体" w:cs="宋体"/>
          <w:color w:val="000000"/>
        </w:rPr>
        <w:t>行业基本状态：分析内容应包括建筑装饰行业在中国国民经济中的地位、行业的特点、近期国家政策对本行业的影响等。</w:t>
      </w:r>
    </w:p>
    <w:p>
      <w:pPr>
        <w:widowControl/>
        <w:tabs>
          <w:tab w:val="left" w:pos="1134"/>
        </w:tabs>
        <w:spacing w:line="360" w:lineRule="auto"/>
        <w:ind w:firstLine="426" w:firstLineChars="202"/>
        <w:jc w:val="left"/>
        <w:rPr>
          <w:rFonts w:ascii="宋体"/>
          <w:color w:val="000000"/>
        </w:rPr>
      </w:pPr>
      <w:r>
        <w:rPr>
          <w:rFonts w:ascii="宋体" w:hAnsi="宋体" w:cs="宋体"/>
          <w:b/>
          <w:bCs/>
          <w:color w:val="000000"/>
        </w:rPr>
        <w:t xml:space="preserve">2  </w:t>
      </w:r>
      <w:r>
        <w:rPr>
          <w:rFonts w:hint="eastAsia" w:ascii="宋体" w:hAnsi="宋体" w:cs="宋体"/>
          <w:color w:val="000000"/>
        </w:rPr>
        <w:t>行业发展特征：通过对建筑装饰行业盈利因素、资产质量因素、经营增长因素等各项发展指标在国民经济所有行业中的相对表现的分析，研究本行业发展特征，并对影响行业发展的原因做出结论。</w:t>
      </w:r>
    </w:p>
    <w:p>
      <w:pPr>
        <w:widowControl/>
        <w:tabs>
          <w:tab w:val="left" w:pos="1134"/>
        </w:tabs>
        <w:spacing w:line="360" w:lineRule="auto"/>
        <w:ind w:firstLine="426" w:firstLineChars="202"/>
        <w:jc w:val="left"/>
        <w:rPr>
          <w:rFonts w:ascii="宋体"/>
          <w:color w:val="000000"/>
        </w:rPr>
      </w:pPr>
      <w:r>
        <w:rPr>
          <w:rFonts w:ascii="宋体" w:hAnsi="宋体" w:cs="宋体"/>
          <w:b/>
          <w:bCs/>
          <w:color w:val="000000"/>
        </w:rPr>
        <w:t xml:space="preserve">3  </w:t>
      </w:r>
      <w:r>
        <w:rPr>
          <w:rFonts w:hint="eastAsia" w:ascii="宋体" w:hAnsi="宋体" w:cs="宋体"/>
          <w:color w:val="000000"/>
        </w:rPr>
        <w:t>行业风险分析：通过对本行业的流动性因素、运营效率因素、获利能力因素以及债务保障因素等风险判别指标的分析对本行业的信用风险水平做出结论。</w:t>
      </w:r>
    </w:p>
    <w:p>
      <w:pPr>
        <w:widowControl/>
        <w:tabs>
          <w:tab w:val="left" w:pos="1134"/>
        </w:tabs>
        <w:spacing w:line="360" w:lineRule="auto"/>
        <w:jc w:val="left"/>
        <w:rPr>
          <w:rFonts w:ascii="宋体"/>
          <w:b/>
          <w:bCs/>
          <w:color w:val="000000"/>
        </w:rPr>
      </w:pPr>
      <w:r>
        <w:rPr>
          <w:rFonts w:ascii="宋体" w:hAnsi="宋体" w:cs="宋体"/>
          <w:b/>
          <w:bCs/>
          <w:color w:val="000000"/>
        </w:rPr>
        <w:t xml:space="preserve">5.3.3  </w:t>
      </w:r>
      <w:r>
        <w:rPr>
          <w:rFonts w:hint="eastAsia" w:ascii="宋体" w:hAnsi="宋体" w:cs="宋体"/>
          <w:b/>
          <w:bCs/>
          <w:color w:val="000000"/>
        </w:rPr>
        <w:t>受评主体行业地位分析</w:t>
      </w:r>
    </w:p>
    <w:p>
      <w:pPr>
        <w:widowControl/>
        <w:tabs>
          <w:tab w:val="left" w:pos="1134"/>
        </w:tabs>
        <w:spacing w:line="360" w:lineRule="auto"/>
        <w:ind w:firstLine="420"/>
        <w:jc w:val="left"/>
        <w:rPr>
          <w:rFonts w:ascii="宋体"/>
          <w:color w:val="000000"/>
        </w:rPr>
      </w:pPr>
      <w:r>
        <w:rPr>
          <w:rFonts w:ascii="宋体" w:hAnsi="宋体" w:cs="宋体"/>
          <w:b/>
          <w:bCs/>
          <w:color w:val="000000"/>
        </w:rPr>
        <w:t xml:space="preserve">1  </w:t>
      </w:r>
      <w:r>
        <w:rPr>
          <w:rFonts w:hint="eastAsia" w:ascii="宋体" w:hAnsi="宋体" w:cs="宋体"/>
          <w:color w:val="000000"/>
        </w:rPr>
        <w:t>受评主体资质：判断受评主体承建不同类型工程的市场准入资格。</w:t>
      </w:r>
    </w:p>
    <w:p>
      <w:pPr>
        <w:widowControl/>
        <w:tabs>
          <w:tab w:val="left" w:pos="1134"/>
        </w:tabs>
        <w:spacing w:line="360" w:lineRule="auto"/>
        <w:ind w:firstLine="420"/>
        <w:jc w:val="left"/>
        <w:rPr>
          <w:rFonts w:ascii="宋体"/>
          <w:color w:val="000000"/>
        </w:rPr>
      </w:pPr>
      <w:r>
        <w:rPr>
          <w:rFonts w:ascii="宋体" w:hAnsi="宋体" w:cs="宋体"/>
          <w:b/>
          <w:bCs/>
          <w:color w:val="000000"/>
        </w:rPr>
        <w:t xml:space="preserve">2  </w:t>
      </w:r>
      <w:r>
        <w:rPr>
          <w:rFonts w:hint="eastAsia" w:ascii="宋体" w:hAnsi="宋体" w:cs="宋体"/>
          <w:color w:val="000000"/>
        </w:rPr>
        <w:t>受评主体规模：判断受评主体承建不同规模项目的能力。</w:t>
      </w:r>
    </w:p>
    <w:p>
      <w:pPr>
        <w:widowControl/>
        <w:tabs>
          <w:tab w:val="left" w:pos="1134"/>
        </w:tabs>
        <w:spacing w:line="360" w:lineRule="auto"/>
        <w:ind w:firstLine="420"/>
        <w:jc w:val="left"/>
        <w:rPr>
          <w:rFonts w:ascii="宋体" w:hAnsi="宋体" w:cs="宋体"/>
          <w:color w:val="000000"/>
        </w:rPr>
      </w:pPr>
      <w:r>
        <w:rPr>
          <w:rFonts w:ascii="宋体" w:hAnsi="宋体" w:cs="宋体"/>
          <w:b/>
          <w:bCs/>
          <w:color w:val="000000"/>
        </w:rPr>
        <w:t xml:space="preserve">3  </w:t>
      </w:r>
      <w:r>
        <w:rPr>
          <w:rFonts w:hint="eastAsia" w:ascii="宋体" w:hAnsi="宋体" w:cs="宋体"/>
          <w:color w:val="000000"/>
        </w:rPr>
        <w:t>受评主体竞争地位：通过对受评主体企业规模因素、运营效率因素以及发展能力因素等竞争能力判别指标的分析综合判断受评主体的竞争实力。</w:t>
      </w:r>
      <w:r>
        <w:rPr>
          <w:rFonts w:ascii="宋体" w:hAnsi="宋体" w:cs="宋体"/>
          <w:color w:val="000000"/>
        </w:rPr>
        <w:t xml:space="preserve"> </w:t>
      </w:r>
    </w:p>
    <w:p>
      <w:pPr>
        <w:widowControl/>
        <w:tabs>
          <w:tab w:val="left" w:pos="1134"/>
        </w:tabs>
        <w:spacing w:line="360" w:lineRule="auto"/>
        <w:jc w:val="left"/>
        <w:rPr>
          <w:rFonts w:ascii="宋体"/>
          <w:b/>
          <w:bCs/>
          <w:color w:val="000000"/>
        </w:rPr>
      </w:pPr>
      <w:r>
        <w:rPr>
          <w:rFonts w:ascii="宋体" w:hAnsi="宋体" w:cs="宋体"/>
          <w:b/>
          <w:bCs/>
          <w:color w:val="000000"/>
        </w:rPr>
        <w:t xml:space="preserve">5.3.4  </w:t>
      </w:r>
      <w:r>
        <w:rPr>
          <w:rFonts w:hint="eastAsia" w:ascii="宋体" w:hAnsi="宋体" w:cs="宋体"/>
          <w:b/>
          <w:bCs/>
          <w:color w:val="000000"/>
        </w:rPr>
        <w:t>受评主体管理分析</w:t>
      </w:r>
    </w:p>
    <w:p>
      <w:pPr>
        <w:widowControl/>
        <w:tabs>
          <w:tab w:val="left" w:pos="1134"/>
        </w:tabs>
        <w:spacing w:line="360" w:lineRule="auto"/>
        <w:ind w:firstLine="420"/>
        <w:jc w:val="left"/>
        <w:rPr>
          <w:rFonts w:ascii="宋体"/>
          <w:color w:val="000000"/>
        </w:rPr>
      </w:pPr>
      <w:r>
        <w:rPr>
          <w:rFonts w:hint="eastAsia" w:ascii="宋体" w:hAnsi="宋体" w:cs="宋体"/>
          <w:color w:val="000000"/>
        </w:rPr>
        <w:t>通过对管理者素质、公司治理结构、运营管理制度完备性、人力资源、创新能力与创新成果、公司战略管理等分析，判断受评主体执行力与承载项目的能力。</w:t>
      </w:r>
    </w:p>
    <w:p>
      <w:pPr>
        <w:widowControl/>
        <w:tabs>
          <w:tab w:val="left" w:pos="1134"/>
        </w:tabs>
        <w:spacing w:line="360" w:lineRule="auto"/>
        <w:jc w:val="left"/>
        <w:rPr>
          <w:rFonts w:ascii="宋体"/>
          <w:b/>
          <w:bCs/>
          <w:color w:val="000000"/>
        </w:rPr>
      </w:pPr>
      <w:r>
        <w:rPr>
          <w:rFonts w:ascii="宋体" w:hAnsi="宋体" w:cs="宋体"/>
          <w:b/>
          <w:bCs/>
          <w:color w:val="000000"/>
        </w:rPr>
        <w:t xml:space="preserve">5.3.5  </w:t>
      </w:r>
      <w:r>
        <w:rPr>
          <w:rFonts w:hint="eastAsia" w:ascii="宋体" w:hAnsi="宋体" w:cs="宋体"/>
          <w:b/>
          <w:bCs/>
          <w:color w:val="000000"/>
        </w:rPr>
        <w:t>受评主体财务实力分析</w:t>
      </w:r>
    </w:p>
    <w:p>
      <w:pPr>
        <w:widowControl/>
        <w:tabs>
          <w:tab w:val="left" w:pos="1134"/>
        </w:tabs>
        <w:spacing w:line="360" w:lineRule="auto"/>
        <w:ind w:firstLine="420"/>
        <w:jc w:val="left"/>
        <w:rPr>
          <w:rFonts w:ascii="宋体"/>
          <w:color w:val="000000"/>
        </w:rPr>
      </w:pPr>
      <w:r>
        <w:rPr>
          <w:rFonts w:ascii="宋体" w:hAnsi="宋体" w:cs="宋体"/>
          <w:b/>
          <w:bCs/>
          <w:color w:val="000000"/>
        </w:rPr>
        <w:t xml:space="preserve">1  </w:t>
      </w:r>
      <w:r>
        <w:rPr>
          <w:rFonts w:hint="eastAsia" w:ascii="宋体" w:hAnsi="宋体" w:cs="宋体"/>
          <w:color w:val="000000"/>
        </w:rPr>
        <w:t>资产结构：通过资产构成、流动性以及资本适宜度分析，判断受评主体资本结构的合理性以及资产质量。</w:t>
      </w:r>
    </w:p>
    <w:p>
      <w:pPr>
        <w:widowControl/>
        <w:tabs>
          <w:tab w:val="left" w:pos="1134"/>
        </w:tabs>
        <w:spacing w:line="360" w:lineRule="auto"/>
        <w:ind w:firstLine="420"/>
        <w:jc w:val="left"/>
        <w:rPr>
          <w:rFonts w:ascii="宋体"/>
          <w:color w:val="000000"/>
          <w:kern w:val="0"/>
        </w:rPr>
      </w:pPr>
      <w:r>
        <w:rPr>
          <w:rFonts w:ascii="宋体" w:hAnsi="宋体" w:cs="宋体"/>
          <w:b/>
          <w:bCs/>
          <w:color w:val="000000"/>
        </w:rPr>
        <w:t xml:space="preserve">2  </w:t>
      </w:r>
      <w:r>
        <w:rPr>
          <w:rFonts w:hint="eastAsia" w:ascii="宋体" w:hAnsi="宋体" w:cs="宋体"/>
          <w:color w:val="000000"/>
        </w:rPr>
        <w:t>运营效率：通过</w:t>
      </w:r>
      <w:r>
        <w:rPr>
          <w:rFonts w:hint="eastAsia" w:ascii="宋体" w:hAnsi="宋体" w:cs="宋体"/>
          <w:color w:val="000000"/>
          <w:kern w:val="0"/>
        </w:rPr>
        <w:t>盈利因素、资产质量因素以及经营效率增长因素等运营能力判别指标的分析、特别是在与同行业相关指标的比较中综合判断受评主体的运营效率。</w:t>
      </w:r>
    </w:p>
    <w:p>
      <w:pPr>
        <w:widowControl/>
        <w:tabs>
          <w:tab w:val="left" w:pos="1134"/>
        </w:tabs>
        <w:spacing w:line="360" w:lineRule="auto"/>
        <w:ind w:firstLine="420"/>
        <w:jc w:val="left"/>
        <w:rPr>
          <w:rFonts w:ascii="宋体"/>
          <w:color w:val="000000"/>
          <w:kern w:val="0"/>
        </w:rPr>
      </w:pPr>
      <w:r>
        <w:rPr>
          <w:rFonts w:ascii="宋体" w:hAnsi="宋体" w:cs="宋体"/>
          <w:b/>
          <w:bCs/>
          <w:color w:val="000000"/>
          <w:kern w:val="0"/>
        </w:rPr>
        <w:t xml:space="preserve">3  </w:t>
      </w:r>
      <w:r>
        <w:rPr>
          <w:rFonts w:hint="eastAsia" w:ascii="宋体" w:hAnsi="宋体" w:cs="宋体"/>
          <w:color w:val="000000"/>
          <w:kern w:val="0"/>
        </w:rPr>
        <w:t>盈利能力：通过投入产出分析，研究受评主体正常经营活动产生的收益的能力，以此判断受评主体经营的稳定性以及正常经营活动时是否具备偿付各项债务的能力。</w:t>
      </w:r>
    </w:p>
    <w:p>
      <w:pPr>
        <w:widowControl/>
        <w:tabs>
          <w:tab w:val="left" w:pos="1134"/>
        </w:tabs>
        <w:spacing w:line="360" w:lineRule="auto"/>
        <w:ind w:firstLine="420"/>
        <w:jc w:val="left"/>
        <w:rPr>
          <w:rFonts w:ascii="宋体"/>
          <w:color w:val="000000"/>
          <w:kern w:val="0"/>
        </w:rPr>
      </w:pPr>
      <w:r>
        <w:rPr>
          <w:rFonts w:ascii="宋体" w:hAnsi="宋体" w:cs="宋体"/>
          <w:b/>
          <w:bCs/>
          <w:color w:val="000000"/>
          <w:kern w:val="0"/>
        </w:rPr>
        <w:t xml:space="preserve">4  </w:t>
      </w:r>
      <w:r>
        <w:rPr>
          <w:rFonts w:hint="eastAsia" w:ascii="宋体" w:hAnsi="宋体" w:cs="宋体"/>
          <w:color w:val="000000"/>
          <w:kern w:val="0"/>
        </w:rPr>
        <w:t>偿付能力：通过债务结构、偿付能力指标、现金充足度以及外部财务弹性的分析，判断受评主体的偿付能力。</w:t>
      </w:r>
    </w:p>
    <w:p>
      <w:pPr>
        <w:widowControl/>
        <w:tabs>
          <w:tab w:val="left" w:pos="1134"/>
        </w:tabs>
        <w:spacing w:line="360" w:lineRule="auto"/>
        <w:jc w:val="left"/>
        <w:rPr>
          <w:rFonts w:ascii="宋体"/>
          <w:b/>
          <w:bCs/>
          <w:color w:val="000000"/>
        </w:rPr>
      </w:pPr>
      <w:r>
        <w:rPr>
          <w:rFonts w:ascii="宋体" w:hAnsi="宋体" w:cs="宋体"/>
          <w:b/>
          <w:bCs/>
          <w:color w:val="000000"/>
          <w:kern w:val="0"/>
        </w:rPr>
        <w:t xml:space="preserve">5.3.6  </w:t>
      </w:r>
      <w:r>
        <w:rPr>
          <w:rFonts w:hint="eastAsia" w:ascii="宋体" w:hAnsi="宋体" w:cs="宋体"/>
          <w:b/>
          <w:bCs/>
          <w:color w:val="000000"/>
          <w:kern w:val="0"/>
        </w:rPr>
        <w:t>受评主体综合信用能力分析</w:t>
      </w:r>
    </w:p>
    <w:p>
      <w:pPr>
        <w:widowControl/>
        <w:tabs>
          <w:tab w:val="left" w:pos="1134"/>
        </w:tabs>
        <w:spacing w:line="360" w:lineRule="auto"/>
        <w:ind w:firstLine="424" w:firstLineChars="202"/>
        <w:jc w:val="left"/>
        <w:rPr>
          <w:rFonts w:ascii="宋体"/>
          <w:color w:val="000000"/>
        </w:rPr>
      </w:pPr>
      <w:r>
        <w:rPr>
          <w:rFonts w:hint="eastAsia" w:ascii="宋体" w:hAnsi="宋体" w:cs="宋体"/>
          <w:color w:val="000000"/>
        </w:rPr>
        <w:t>通过对受评主体发展水平、增长潜力、经营稳定性以及偿付能力的分析，运用信用风险计量模型，得出受评主体综合信用能力。</w:t>
      </w:r>
    </w:p>
    <w:p>
      <w:pPr>
        <w:widowControl/>
        <w:tabs>
          <w:tab w:val="left" w:pos="1134"/>
        </w:tabs>
        <w:spacing w:line="360" w:lineRule="auto"/>
        <w:jc w:val="left"/>
        <w:rPr>
          <w:rFonts w:ascii="宋体"/>
          <w:b/>
          <w:bCs/>
          <w:color w:val="000000"/>
        </w:rPr>
      </w:pPr>
      <w:r>
        <w:rPr>
          <w:rFonts w:ascii="宋体" w:hAnsi="宋体" w:cs="宋体"/>
          <w:b/>
          <w:bCs/>
          <w:color w:val="000000"/>
        </w:rPr>
        <w:t xml:space="preserve">5.3.7  </w:t>
      </w:r>
      <w:r>
        <w:rPr>
          <w:rFonts w:hint="eastAsia" w:ascii="宋体" w:hAnsi="宋体" w:cs="宋体"/>
          <w:b/>
          <w:bCs/>
          <w:color w:val="000000"/>
        </w:rPr>
        <w:t>公共信用记录</w:t>
      </w:r>
    </w:p>
    <w:p>
      <w:pPr>
        <w:widowControl/>
        <w:tabs>
          <w:tab w:val="left" w:pos="1134"/>
        </w:tabs>
        <w:spacing w:line="360" w:lineRule="auto"/>
        <w:ind w:firstLine="424" w:firstLineChars="202"/>
        <w:jc w:val="left"/>
        <w:rPr>
          <w:rFonts w:ascii="宋体"/>
          <w:color w:val="000000"/>
        </w:rPr>
      </w:pPr>
      <w:r>
        <w:rPr>
          <w:rFonts w:hint="eastAsia" w:ascii="宋体" w:hAnsi="宋体" w:cs="宋体"/>
          <w:color w:val="000000"/>
        </w:rPr>
        <w:t>通过对来源于银行类金融机构、非银行类金融机构、政府部门、司法部门、国际合作组织、其他社会征信机构等机构发布的受评主体信用记录分析，判断受评主体履约意愿。</w:t>
      </w:r>
    </w:p>
    <w:p>
      <w:pPr>
        <w:spacing w:before="1"/>
        <w:ind w:left="904"/>
        <w:jc w:val="left"/>
        <w:outlineLvl w:val="0"/>
        <w:rPr>
          <w:rFonts w:ascii="宋体"/>
          <w:b/>
          <w:bCs/>
          <w:color w:val="000000"/>
          <w:sz w:val="32"/>
          <w:szCs w:val="32"/>
        </w:rPr>
      </w:pPr>
      <w:bookmarkStart w:id="41" w:name="_Toc396315862"/>
      <w:bookmarkStart w:id="42" w:name="_Toc475950071"/>
      <w:r>
        <w:rPr>
          <w:rFonts w:ascii="宋体" w:hAnsi="宋体" w:cs="宋体"/>
          <w:b/>
          <w:bCs/>
          <w:color w:val="000000"/>
          <w:sz w:val="32"/>
          <w:szCs w:val="32"/>
        </w:rPr>
        <w:t xml:space="preserve">6 </w:t>
      </w:r>
      <w:r>
        <w:rPr>
          <w:rFonts w:hint="eastAsia" w:ascii="宋体" w:hAnsi="宋体" w:cs="宋体"/>
          <w:b/>
          <w:bCs/>
          <w:color w:val="000000"/>
          <w:sz w:val="32"/>
          <w:szCs w:val="32"/>
        </w:rPr>
        <w:t>中国建筑装饰行业企业主体信用等级符号及含义</w:t>
      </w:r>
      <w:bookmarkEnd w:id="41"/>
      <w:bookmarkEnd w:id="42"/>
    </w:p>
    <w:p>
      <w:pPr>
        <w:spacing w:line="360" w:lineRule="auto"/>
        <w:ind w:firstLine="424" w:firstLineChars="202"/>
        <w:jc w:val="left"/>
        <w:rPr>
          <w:rFonts w:ascii="宋体"/>
          <w:color w:val="000000"/>
          <w:kern w:val="0"/>
        </w:rPr>
      </w:pPr>
      <w:r>
        <w:rPr>
          <w:rFonts w:hint="eastAsia" w:ascii="宋体" w:hAnsi="宋体" w:cs="宋体"/>
          <w:color w:val="000000"/>
          <w:kern w:val="0"/>
        </w:rPr>
        <w:t>中国建筑装饰行业企业主体信用等级分为三等九级，依次用</w:t>
      </w:r>
      <w:r>
        <w:rPr>
          <w:rFonts w:ascii="宋体" w:hAnsi="宋体" w:cs="宋体"/>
          <w:color w:val="000000"/>
          <w:kern w:val="0"/>
        </w:rPr>
        <w:t>AAA</w:t>
      </w:r>
      <w:r>
        <w:rPr>
          <w:rFonts w:hint="eastAsia" w:ascii="宋体" w:hAnsi="宋体" w:cs="宋体"/>
          <w:color w:val="000000"/>
          <w:kern w:val="0"/>
        </w:rPr>
        <w:t>、</w:t>
      </w:r>
      <w:r>
        <w:rPr>
          <w:rFonts w:ascii="宋体" w:hAnsi="宋体" w:cs="宋体"/>
          <w:color w:val="000000"/>
          <w:kern w:val="0"/>
        </w:rPr>
        <w:t>AA</w:t>
      </w:r>
      <w:r>
        <w:rPr>
          <w:rFonts w:hint="eastAsia" w:ascii="宋体" w:hAnsi="宋体" w:cs="宋体"/>
          <w:color w:val="000000"/>
          <w:kern w:val="0"/>
        </w:rPr>
        <w:t>、</w:t>
      </w:r>
      <w:r>
        <w:rPr>
          <w:rFonts w:ascii="宋体" w:hAnsi="宋体" w:cs="宋体"/>
          <w:color w:val="000000"/>
          <w:kern w:val="0"/>
        </w:rPr>
        <w:t>A</w:t>
      </w:r>
      <w:r>
        <w:rPr>
          <w:rFonts w:hint="eastAsia" w:ascii="宋体" w:hAnsi="宋体" w:cs="宋体"/>
          <w:color w:val="000000"/>
          <w:kern w:val="0"/>
        </w:rPr>
        <w:t>、</w:t>
      </w:r>
      <w:r>
        <w:rPr>
          <w:rFonts w:ascii="宋体" w:hAnsi="宋体" w:cs="宋体"/>
          <w:color w:val="000000"/>
          <w:kern w:val="0"/>
        </w:rPr>
        <w:t>BBB</w:t>
      </w:r>
      <w:r>
        <w:rPr>
          <w:rFonts w:hint="eastAsia" w:ascii="宋体" w:hAnsi="宋体" w:cs="宋体"/>
          <w:color w:val="000000"/>
          <w:kern w:val="0"/>
        </w:rPr>
        <w:t>、</w:t>
      </w:r>
      <w:r>
        <w:rPr>
          <w:rFonts w:ascii="宋体" w:hAnsi="宋体" w:cs="宋体"/>
          <w:color w:val="000000"/>
          <w:kern w:val="0"/>
        </w:rPr>
        <w:t>BB</w:t>
      </w:r>
      <w:r>
        <w:rPr>
          <w:rFonts w:hint="eastAsia" w:ascii="宋体" w:hAnsi="宋体" w:cs="宋体"/>
          <w:color w:val="000000"/>
          <w:kern w:val="0"/>
        </w:rPr>
        <w:t>、</w:t>
      </w:r>
      <w:r>
        <w:rPr>
          <w:rFonts w:ascii="宋体" w:hAnsi="宋体" w:cs="宋体"/>
          <w:color w:val="000000"/>
          <w:kern w:val="0"/>
        </w:rPr>
        <w:t>B</w:t>
      </w:r>
      <w:r>
        <w:rPr>
          <w:rFonts w:hint="eastAsia" w:ascii="宋体" w:hAnsi="宋体" w:cs="宋体"/>
          <w:color w:val="000000"/>
          <w:kern w:val="0"/>
        </w:rPr>
        <w:t>、</w:t>
      </w:r>
      <w:r>
        <w:rPr>
          <w:rFonts w:ascii="宋体" w:hAnsi="宋体" w:cs="宋体"/>
          <w:color w:val="000000"/>
          <w:kern w:val="0"/>
        </w:rPr>
        <w:t>CCC</w:t>
      </w:r>
      <w:r>
        <w:rPr>
          <w:rFonts w:hint="eastAsia" w:ascii="宋体" w:hAnsi="宋体" w:cs="宋体"/>
          <w:color w:val="000000"/>
          <w:kern w:val="0"/>
        </w:rPr>
        <w:t>、</w:t>
      </w:r>
      <w:r>
        <w:rPr>
          <w:rFonts w:ascii="宋体" w:hAnsi="宋体" w:cs="宋体"/>
          <w:color w:val="000000"/>
          <w:kern w:val="0"/>
        </w:rPr>
        <w:t>CC</w:t>
      </w:r>
      <w:r>
        <w:rPr>
          <w:rFonts w:hint="eastAsia" w:ascii="宋体" w:hAnsi="宋体" w:cs="宋体"/>
          <w:color w:val="000000"/>
          <w:kern w:val="0"/>
        </w:rPr>
        <w:t>和</w:t>
      </w:r>
      <w:r>
        <w:rPr>
          <w:rFonts w:ascii="宋体" w:hAnsi="宋体" w:cs="宋体"/>
          <w:color w:val="000000"/>
          <w:kern w:val="0"/>
        </w:rPr>
        <w:t>C</w:t>
      </w:r>
      <w:r>
        <w:rPr>
          <w:rFonts w:hint="eastAsia" w:ascii="宋体" w:hAnsi="宋体" w:cs="宋体"/>
          <w:color w:val="000000"/>
          <w:kern w:val="0"/>
        </w:rPr>
        <w:t>表示。</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1  </w:t>
      </w:r>
      <w:r>
        <w:rPr>
          <w:rFonts w:ascii="宋体" w:hAnsi="宋体" w:cs="宋体"/>
          <w:color w:val="000000"/>
          <w:kern w:val="0"/>
        </w:rPr>
        <w:t>AAA</w:t>
      </w:r>
      <w:r>
        <w:rPr>
          <w:rFonts w:hint="eastAsia" w:ascii="宋体" w:hAnsi="宋体" w:cs="宋体"/>
          <w:color w:val="000000"/>
          <w:kern w:val="0"/>
        </w:rPr>
        <w:t>：受评主体经营的稳定性极强，对履行相关经济和社会责任能够提供极强的安全保障，尽管环境因素可能会发生变化，但这些变化对受评主体的影响不会从根本上损害其相当稳定的发展趋势，违约风险极低。</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2  </w:t>
      </w:r>
      <w:r>
        <w:rPr>
          <w:rFonts w:ascii="宋体" w:hAnsi="宋体" w:cs="宋体"/>
          <w:color w:val="000000"/>
          <w:kern w:val="0"/>
        </w:rPr>
        <w:t>AA</w:t>
      </w:r>
      <w:r>
        <w:rPr>
          <w:rFonts w:hint="eastAsia" w:ascii="宋体" w:hAnsi="宋体" w:cs="宋体"/>
          <w:color w:val="000000"/>
          <w:kern w:val="0"/>
        </w:rPr>
        <w:t>：受评主体经营的稳定性很强，对履行相关经济和社会责任能够提供很好的安全保障，环境因素发生不利变化时其稳定性可能会受到影响，但违约风险很低。</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3  </w:t>
      </w:r>
      <w:r>
        <w:rPr>
          <w:rFonts w:ascii="宋体" w:hAnsi="宋体" w:cs="宋体"/>
          <w:color w:val="000000"/>
          <w:kern w:val="0"/>
        </w:rPr>
        <w:t>A</w:t>
      </w:r>
      <w:r>
        <w:rPr>
          <w:rFonts w:hint="eastAsia" w:ascii="宋体" w:hAnsi="宋体" w:cs="宋体"/>
          <w:color w:val="000000"/>
          <w:kern w:val="0"/>
        </w:rPr>
        <w:t>：受评主体经营的稳定性较强，对履行相关经济和社会责任能够提供较好的安全保障，对于抵御环境发生不利变化时的能力较弱，但违约风险较低。</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4 </w:t>
      </w:r>
      <w:r>
        <w:rPr>
          <w:rFonts w:ascii="宋体" w:hAnsi="宋体" w:cs="宋体"/>
          <w:color w:val="000000"/>
          <w:kern w:val="0"/>
        </w:rPr>
        <w:t xml:space="preserve"> BBB</w:t>
      </w:r>
      <w:r>
        <w:rPr>
          <w:rFonts w:hint="eastAsia" w:ascii="宋体" w:hAnsi="宋体" w:cs="宋体"/>
          <w:color w:val="000000"/>
          <w:kern w:val="0"/>
        </w:rPr>
        <w:t>：在正常条件下，受评主体在履行相关经济和社会责任时可以提供充足的安全保障，但发生不利经营环境时，存在或有违约风险。</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5  </w:t>
      </w:r>
      <w:r>
        <w:rPr>
          <w:rFonts w:ascii="宋体" w:hAnsi="宋体" w:cs="宋体"/>
          <w:color w:val="000000"/>
          <w:kern w:val="0"/>
        </w:rPr>
        <w:t>BB</w:t>
      </w:r>
      <w:r>
        <w:rPr>
          <w:rFonts w:hint="eastAsia" w:ascii="宋体" w:hAnsi="宋体" w:cs="宋体"/>
          <w:color w:val="000000"/>
          <w:kern w:val="0"/>
        </w:rPr>
        <w:t>：在正常条件下，受评主体在履行相关经济和社会责任时可以提供部分的安全保障，发生不利经营环境时，存在一定违约风险。</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6  </w:t>
      </w:r>
      <w:r>
        <w:rPr>
          <w:rFonts w:ascii="宋体" w:hAnsi="宋体" w:cs="宋体"/>
          <w:color w:val="000000"/>
          <w:kern w:val="0"/>
        </w:rPr>
        <w:t>B</w:t>
      </w:r>
      <w:r>
        <w:rPr>
          <w:rFonts w:hint="eastAsia" w:ascii="宋体" w:hAnsi="宋体" w:cs="宋体"/>
          <w:color w:val="000000"/>
          <w:kern w:val="0"/>
        </w:rPr>
        <w:t>：在正常条件下，受评主体在履行相关经济和社会责任时不能提供充足的安全保障，发生不利经营环境时，违约风险较大。</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7  </w:t>
      </w:r>
      <w:r>
        <w:rPr>
          <w:rFonts w:ascii="宋体" w:hAnsi="宋体" w:cs="宋体"/>
          <w:color w:val="000000"/>
          <w:kern w:val="0"/>
        </w:rPr>
        <w:t>CCC</w:t>
      </w:r>
      <w:r>
        <w:rPr>
          <w:rFonts w:hint="eastAsia" w:ascii="宋体" w:hAnsi="宋体" w:cs="宋体"/>
          <w:color w:val="000000"/>
          <w:kern w:val="0"/>
        </w:rPr>
        <w:t>：在正常条件下，受评主体履行相关经济和社会责任时不能提供保障，发生不利经营环境时，违约风险很大，有一定违约损失，经营能力受到影响。</w:t>
      </w:r>
    </w:p>
    <w:p>
      <w:pPr>
        <w:widowControl/>
        <w:spacing w:line="360" w:lineRule="auto"/>
        <w:ind w:firstLine="422" w:firstLineChars="200"/>
        <w:jc w:val="left"/>
        <w:rPr>
          <w:rFonts w:ascii="宋体"/>
          <w:color w:val="000000"/>
          <w:kern w:val="0"/>
        </w:rPr>
      </w:pPr>
      <w:r>
        <w:rPr>
          <w:rFonts w:ascii="宋体" w:hAnsi="宋体" w:cs="宋体"/>
          <w:b/>
          <w:bCs/>
          <w:color w:val="000000"/>
          <w:kern w:val="0"/>
        </w:rPr>
        <w:t>8</w:t>
      </w:r>
      <w:r>
        <w:rPr>
          <w:rFonts w:ascii="宋体" w:hAnsi="宋体" w:cs="宋体"/>
          <w:color w:val="000000"/>
          <w:kern w:val="0"/>
        </w:rPr>
        <w:t xml:space="preserve">  CC</w:t>
      </w:r>
      <w:r>
        <w:rPr>
          <w:rFonts w:hint="eastAsia" w:ascii="宋体" w:hAnsi="宋体" w:cs="宋体"/>
          <w:color w:val="000000"/>
          <w:kern w:val="0"/>
        </w:rPr>
        <w:t>：在正常条件下，受评主体不能保障履行相关经济和社会责任，发生不利经营环境时，违约风险很大，违约损失较大，经营能力受到严重制约。</w:t>
      </w:r>
    </w:p>
    <w:p>
      <w:pPr>
        <w:widowControl/>
        <w:spacing w:line="360" w:lineRule="auto"/>
        <w:ind w:firstLine="422" w:firstLineChars="200"/>
        <w:jc w:val="left"/>
        <w:rPr>
          <w:rFonts w:ascii="宋体"/>
          <w:color w:val="000000"/>
          <w:kern w:val="0"/>
        </w:rPr>
      </w:pPr>
      <w:r>
        <w:rPr>
          <w:rFonts w:ascii="宋体" w:hAnsi="宋体" w:cs="宋体"/>
          <w:b/>
          <w:bCs/>
          <w:color w:val="000000"/>
          <w:kern w:val="0"/>
        </w:rPr>
        <w:t xml:space="preserve">9  </w:t>
      </w:r>
      <w:r>
        <w:rPr>
          <w:rFonts w:ascii="宋体" w:hAnsi="宋体" w:cs="宋体"/>
          <w:color w:val="000000"/>
          <w:kern w:val="0"/>
        </w:rPr>
        <w:t>C</w:t>
      </w:r>
      <w:r>
        <w:rPr>
          <w:rFonts w:hint="eastAsia" w:ascii="宋体" w:hAnsi="宋体" w:cs="宋体"/>
          <w:color w:val="000000"/>
          <w:kern w:val="0"/>
        </w:rPr>
        <w:t>：在正常条件下，受评主体基本不具备履行相关经济和社会责任的能力，发生不利经营环境时，违约风险很大，违约损失很大，丧失基本经营能力。</w:t>
      </w:r>
    </w:p>
    <w:p>
      <w:pPr>
        <w:widowControl/>
        <w:spacing w:line="360" w:lineRule="auto"/>
        <w:ind w:firstLine="360" w:firstLineChars="200"/>
        <w:jc w:val="left"/>
        <w:rPr>
          <w:rFonts w:ascii="宋体"/>
          <w:color w:val="000000"/>
          <w:kern w:val="0"/>
          <w:sz w:val="18"/>
          <w:szCs w:val="18"/>
        </w:rPr>
      </w:pPr>
      <w:r>
        <w:rPr>
          <w:rFonts w:hint="eastAsia" w:ascii="宋体" w:hAnsi="宋体" w:cs="宋体"/>
          <w:color w:val="000000"/>
          <w:kern w:val="0"/>
          <w:sz w:val="18"/>
          <w:szCs w:val="18"/>
        </w:rPr>
        <w:t>注：受评主体不具备信用评价资格用</w:t>
      </w:r>
      <w:r>
        <w:rPr>
          <w:rFonts w:ascii="宋体" w:hAnsi="宋体" w:cs="宋体"/>
          <w:color w:val="000000"/>
          <w:kern w:val="0"/>
          <w:sz w:val="18"/>
          <w:szCs w:val="18"/>
        </w:rPr>
        <w:t>NR</w:t>
      </w:r>
      <w:r>
        <w:rPr>
          <w:rFonts w:hint="eastAsia" w:ascii="宋体" w:hAnsi="宋体" w:cs="宋体"/>
          <w:color w:val="000000"/>
          <w:kern w:val="0"/>
          <w:sz w:val="18"/>
          <w:szCs w:val="18"/>
        </w:rPr>
        <w:t>表示。</w:t>
      </w:r>
    </w:p>
    <w:p>
      <w:pPr>
        <w:spacing w:before="1"/>
        <w:ind w:left="904"/>
        <w:jc w:val="left"/>
        <w:outlineLvl w:val="0"/>
        <w:rPr>
          <w:rFonts w:ascii="宋体"/>
          <w:b/>
          <w:bCs/>
          <w:color w:val="000000"/>
          <w:sz w:val="32"/>
          <w:szCs w:val="32"/>
        </w:rPr>
      </w:pPr>
      <w:bookmarkStart w:id="43" w:name="_Toc396315863"/>
      <w:bookmarkStart w:id="44" w:name="_Toc475950072"/>
      <w:r>
        <w:rPr>
          <w:rFonts w:ascii="宋体" w:hAnsi="宋体" w:cs="宋体"/>
          <w:b/>
          <w:bCs/>
          <w:color w:val="000000"/>
          <w:sz w:val="32"/>
          <w:szCs w:val="32"/>
        </w:rPr>
        <w:t xml:space="preserve">7 </w:t>
      </w:r>
      <w:r>
        <w:rPr>
          <w:rFonts w:hint="eastAsia" w:ascii="宋体" w:hAnsi="宋体" w:cs="宋体"/>
          <w:b/>
          <w:bCs/>
          <w:color w:val="000000"/>
          <w:sz w:val="32"/>
          <w:szCs w:val="32"/>
        </w:rPr>
        <w:t>信用评价的指标项及权重分配规则</w:t>
      </w:r>
      <w:bookmarkEnd w:id="43"/>
      <w:bookmarkEnd w:id="44"/>
    </w:p>
    <w:p>
      <w:pPr>
        <w:widowControl/>
        <w:tabs>
          <w:tab w:val="left" w:pos="1134"/>
        </w:tabs>
        <w:spacing w:line="360" w:lineRule="auto"/>
        <w:ind w:firstLine="424" w:firstLineChars="202"/>
        <w:jc w:val="left"/>
        <w:rPr>
          <w:rFonts w:ascii="宋体"/>
          <w:color w:val="000000"/>
        </w:rPr>
      </w:pPr>
      <w:r>
        <w:rPr>
          <w:rFonts w:hint="eastAsia" w:ascii="宋体" w:hAnsi="宋体" w:cs="宋体"/>
          <w:color w:val="000000"/>
        </w:rPr>
        <w:t>中国建筑装饰行业企业主体信用评价指标体系、权重分配及评分表详见附录</w:t>
      </w:r>
      <w:r>
        <w:rPr>
          <w:rFonts w:ascii="宋体" w:hAnsi="宋体" w:cs="宋体"/>
          <w:color w:val="000000"/>
        </w:rPr>
        <w:t>A</w:t>
      </w:r>
      <w:r>
        <w:rPr>
          <w:rFonts w:hint="eastAsia" w:ascii="宋体" w:hAnsi="宋体" w:cs="宋体"/>
          <w:color w:val="000000"/>
        </w:rPr>
        <w:t>。</w:t>
      </w:r>
    </w:p>
    <w:p>
      <w:pPr>
        <w:spacing w:before="1"/>
        <w:ind w:left="904"/>
        <w:jc w:val="left"/>
        <w:outlineLvl w:val="0"/>
        <w:rPr>
          <w:rFonts w:ascii="宋体"/>
          <w:b/>
          <w:bCs/>
          <w:color w:val="000000"/>
          <w:sz w:val="32"/>
          <w:szCs w:val="32"/>
        </w:rPr>
      </w:pPr>
      <w:bookmarkStart w:id="45" w:name="_Toc396315864"/>
      <w:bookmarkStart w:id="46" w:name="_Toc475950073"/>
      <w:r>
        <w:rPr>
          <w:rFonts w:ascii="宋体" w:hAnsi="宋体" w:cs="宋体"/>
          <w:b/>
          <w:bCs/>
          <w:color w:val="000000"/>
          <w:sz w:val="32"/>
          <w:szCs w:val="32"/>
        </w:rPr>
        <w:t xml:space="preserve">8 </w:t>
      </w:r>
      <w:r>
        <w:rPr>
          <w:rFonts w:hint="eastAsia" w:ascii="宋体" w:hAnsi="宋体" w:cs="宋体"/>
          <w:b/>
          <w:bCs/>
          <w:color w:val="000000"/>
          <w:sz w:val="32"/>
          <w:szCs w:val="32"/>
        </w:rPr>
        <w:t>信用评价报告</w:t>
      </w:r>
      <w:bookmarkEnd w:id="45"/>
      <w:bookmarkEnd w:id="46"/>
    </w:p>
    <w:p>
      <w:pPr>
        <w:tabs>
          <w:tab w:val="left" w:pos="993"/>
        </w:tabs>
        <w:spacing w:line="360" w:lineRule="auto"/>
        <w:ind w:right="-334" w:rightChars="-159" w:firstLine="424" w:firstLineChars="202"/>
        <w:rPr>
          <w:rFonts w:ascii="宋体"/>
          <w:color w:val="000000"/>
          <w:kern w:val="0"/>
        </w:rPr>
      </w:pPr>
      <w:r>
        <w:rPr>
          <w:rFonts w:hint="eastAsia" w:ascii="宋体" w:hAnsi="宋体" w:cs="宋体"/>
          <w:color w:val="000000"/>
          <w:kern w:val="0"/>
        </w:rPr>
        <w:t>信用评价报告是信用评价机构对可能影响受评主体履约能力及履约意愿的主要要素进行综合分析后出具的分析性文件。</w:t>
      </w:r>
    </w:p>
    <w:p>
      <w:pPr>
        <w:tabs>
          <w:tab w:val="left" w:pos="993"/>
        </w:tabs>
        <w:spacing w:line="360" w:lineRule="auto"/>
        <w:ind w:right="-334" w:rightChars="-159" w:firstLine="424" w:firstLineChars="202"/>
        <w:rPr>
          <w:rFonts w:ascii="宋体"/>
          <w:color w:val="000000"/>
          <w:kern w:val="0"/>
        </w:rPr>
      </w:pPr>
      <w:r>
        <w:rPr>
          <w:rFonts w:hint="eastAsia" w:ascii="宋体" w:hAnsi="宋体" w:cs="宋体"/>
          <w:color w:val="000000"/>
          <w:kern w:val="0"/>
        </w:rPr>
        <w:t>信用评价报告的用语应简洁明确，不应有误导性语句。</w:t>
      </w:r>
    </w:p>
    <w:p>
      <w:pPr>
        <w:widowControl/>
        <w:autoSpaceDE w:val="0"/>
        <w:autoSpaceDN w:val="0"/>
        <w:spacing w:line="360" w:lineRule="auto"/>
        <w:ind w:firstLine="424" w:firstLineChars="202"/>
        <w:rPr>
          <w:rFonts w:ascii="宋体" w:hAnsi="宋体"/>
          <w:color w:val="000000"/>
          <w:kern w:val="0"/>
        </w:rPr>
      </w:pPr>
      <w:r>
        <w:rPr>
          <w:rFonts w:hint="eastAsia" w:ascii="宋体" w:hAnsi="宋体" w:cs="宋体"/>
          <w:color w:val="000000"/>
          <w:kern w:val="0"/>
        </w:rPr>
        <w:t>中国建筑装饰行业企业主体信用评价报告应当至少包括概述、声明、信用评价报告正文、跟踪评价安排和附录等内容。</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8.1  </w:t>
      </w:r>
      <w:r>
        <w:rPr>
          <w:rFonts w:hint="eastAsia" w:ascii="宋体" w:hAnsi="宋体" w:cs="宋体"/>
          <w:b/>
          <w:bCs/>
          <w:color w:val="000000"/>
          <w:kern w:val="0"/>
        </w:rPr>
        <w:t>报告概述</w:t>
      </w:r>
    </w:p>
    <w:p>
      <w:pPr>
        <w:widowControl/>
        <w:autoSpaceDE w:val="0"/>
        <w:autoSpaceDN w:val="0"/>
        <w:spacing w:line="360" w:lineRule="auto"/>
        <w:ind w:firstLine="424" w:firstLineChars="202"/>
        <w:rPr>
          <w:rFonts w:ascii="宋体" w:hAnsi="宋体"/>
          <w:color w:val="000000"/>
          <w:kern w:val="0"/>
        </w:rPr>
      </w:pPr>
      <w:r>
        <w:rPr>
          <w:rFonts w:hint="eastAsia" w:ascii="宋体" w:hAnsi="宋体" w:cs="宋体"/>
          <w:color w:val="000000"/>
          <w:kern w:val="0"/>
        </w:rPr>
        <w:t>信用评价报告概述是信用评价报告的总结性论述，内容应包括受评主体的名称、受评主体主要财务数据、信用等级及说明、重要结论、评估结论的时效限定、评价小组成员、联系方式和出具报告的时间等。</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8.2   </w:t>
      </w:r>
      <w:r>
        <w:rPr>
          <w:rFonts w:hint="eastAsia" w:ascii="宋体" w:hAnsi="宋体" w:cs="宋体"/>
          <w:b/>
          <w:bCs/>
          <w:color w:val="000000"/>
          <w:kern w:val="0"/>
        </w:rPr>
        <w:t>报告声明</w:t>
      </w:r>
    </w:p>
    <w:p>
      <w:pPr>
        <w:widowControl/>
        <w:autoSpaceDE w:val="0"/>
        <w:autoSpaceDN w:val="0"/>
        <w:spacing w:line="360" w:lineRule="auto"/>
        <w:ind w:firstLine="420" w:firstLineChars="200"/>
        <w:rPr>
          <w:rFonts w:ascii="宋体"/>
          <w:color w:val="000000"/>
          <w:kern w:val="0"/>
        </w:rPr>
      </w:pPr>
      <w:r>
        <w:rPr>
          <w:rFonts w:hint="eastAsia" w:ascii="宋体" w:hAnsi="宋体" w:cs="宋体"/>
          <w:color w:val="000000"/>
          <w:kern w:val="0"/>
        </w:rPr>
        <w:t>信用评价报告声明应包含以下内容：</w:t>
      </w:r>
    </w:p>
    <w:p>
      <w:pPr>
        <w:tabs>
          <w:tab w:val="left" w:pos="993"/>
        </w:tabs>
        <w:spacing w:line="360" w:lineRule="auto"/>
        <w:ind w:firstLine="420"/>
        <w:rPr>
          <w:rFonts w:ascii="宋体"/>
          <w:color w:val="000000"/>
          <w:kern w:val="0"/>
        </w:rPr>
      </w:pPr>
      <w:r>
        <w:rPr>
          <w:rFonts w:ascii="宋体" w:hAnsi="宋体" w:cs="宋体"/>
          <w:b/>
          <w:bCs/>
          <w:color w:val="000000"/>
          <w:kern w:val="0"/>
        </w:rPr>
        <w:t xml:space="preserve">1  </w:t>
      </w:r>
      <w:r>
        <w:rPr>
          <w:rFonts w:hint="eastAsia" w:ascii="宋体" w:hAnsi="宋体" w:cs="宋体"/>
          <w:color w:val="000000"/>
          <w:kern w:val="0"/>
        </w:rPr>
        <w:t>除因本次评价事项外，评价机构与受评主体构成委托关系外，评价机构、评估人员与受评主体不存在任何影响评价行为独立、客观、公正的关联关系；</w:t>
      </w:r>
    </w:p>
    <w:p>
      <w:pPr>
        <w:tabs>
          <w:tab w:val="left" w:pos="993"/>
        </w:tabs>
        <w:spacing w:line="360" w:lineRule="auto"/>
        <w:ind w:firstLine="420"/>
        <w:rPr>
          <w:rFonts w:ascii="宋体"/>
          <w:color w:val="000000"/>
          <w:kern w:val="0"/>
        </w:rPr>
      </w:pPr>
      <w:r>
        <w:rPr>
          <w:rFonts w:ascii="宋体" w:hAnsi="宋体" w:cs="宋体"/>
          <w:b/>
          <w:bCs/>
          <w:color w:val="000000"/>
          <w:kern w:val="0"/>
        </w:rPr>
        <w:t xml:space="preserve">2  </w:t>
      </w:r>
      <w:r>
        <w:rPr>
          <w:rFonts w:hint="eastAsia" w:ascii="宋体" w:hAnsi="宋体" w:cs="宋体"/>
          <w:color w:val="000000"/>
          <w:kern w:val="0"/>
        </w:rPr>
        <w:t>评价机构与评估人员履行了勤勉尽责和诚信义务，有充分理由保证所出具的评价报告遵循了真实、客观、公正的原则；</w:t>
      </w:r>
    </w:p>
    <w:p>
      <w:pPr>
        <w:tabs>
          <w:tab w:val="left" w:pos="993"/>
        </w:tabs>
        <w:spacing w:line="360" w:lineRule="auto"/>
        <w:ind w:firstLine="420"/>
        <w:rPr>
          <w:rFonts w:ascii="宋体"/>
          <w:color w:val="000000"/>
          <w:kern w:val="0"/>
        </w:rPr>
      </w:pPr>
      <w:r>
        <w:rPr>
          <w:rFonts w:ascii="宋体" w:hAnsi="宋体" w:cs="宋体"/>
          <w:b/>
          <w:bCs/>
          <w:color w:val="000000"/>
          <w:kern w:val="0"/>
        </w:rPr>
        <w:t xml:space="preserve">3  </w:t>
      </w:r>
      <w:r>
        <w:rPr>
          <w:rFonts w:hint="eastAsia" w:ascii="宋体" w:hAnsi="宋体" w:cs="宋体"/>
          <w:color w:val="000000"/>
          <w:kern w:val="0"/>
        </w:rPr>
        <w:t>信用评价报告的结论是评价机构依据中国建筑装饰行业企业主体信用评价标准的要求以及合理的内部信用评价标准和程序做出的独立判断，未因受评主体和其他任何组织或个人的不当影响改变评价观点；</w:t>
      </w:r>
    </w:p>
    <w:p>
      <w:pPr>
        <w:tabs>
          <w:tab w:val="left" w:pos="993"/>
        </w:tabs>
        <w:spacing w:line="360" w:lineRule="auto"/>
        <w:ind w:firstLine="420"/>
        <w:rPr>
          <w:rFonts w:ascii="宋体"/>
          <w:color w:val="000000"/>
          <w:kern w:val="0"/>
        </w:rPr>
      </w:pPr>
      <w:r>
        <w:rPr>
          <w:rFonts w:ascii="宋体" w:hAnsi="宋体" w:cs="宋体"/>
          <w:b/>
          <w:bCs/>
          <w:color w:val="000000"/>
          <w:kern w:val="0"/>
        </w:rPr>
        <w:t xml:space="preserve">4  </w:t>
      </w:r>
      <w:r>
        <w:rPr>
          <w:rFonts w:hint="eastAsia" w:ascii="宋体" w:hAnsi="宋体" w:cs="宋体"/>
          <w:color w:val="000000"/>
          <w:kern w:val="0"/>
        </w:rPr>
        <w:t>信用评价报告用于相关决策参考，并非是某种决策的结论、建议；</w:t>
      </w:r>
    </w:p>
    <w:p>
      <w:pPr>
        <w:tabs>
          <w:tab w:val="left" w:pos="993"/>
        </w:tabs>
        <w:spacing w:line="360" w:lineRule="auto"/>
        <w:ind w:firstLine="420"/>
        <w:rPr>
          <w:rFonts w:ascii="宋体"/>
          <w:color w:val="000000"/>
          <w:kern w:val="0"/>
        </w:rPr>
      </w:pPr>
      <w:r>
        <w:rPr>
          <w:rFonts w:ascii="宋体" w:hAnsi="宋体" w:cs="宋体"/>
          <w:b/>
          <w:bCs/>
          <w:color w:val="000000"/>
          <w:kern w:val="0"/>
        </w:rPr>
        <w:t xml:space="preserve">5  </w:t>
      </w:r>
      <w:r>
        <w:rPr>
          <w:rFonts w:hint="eastAsia" w:ascii="宋体" w:hAnsi="宋体" w:cs="宋体"/>
          <w:color w:val="000000"/>
          <w:kern w:val="0"/>
        </w:rPr>
        <w:t>本次信用评价结果的有效期等。</w:t>
      </w:r>
    </w:p>
    <w:p>
      <w:pPr>
        <w:tabs>
          <w:tab w:val="left" w:pos="907"/>
        </w:tabs>
        <w:spacing w:line="360" w:lineRule="auto"/>
        <w:ind w:left="964" w:hanging="964"/>
        <w:rPr>
          <w:rFonts w:ascii="宋体"/>
          <w:b/>
          <w:bCs/>
          <w:color w:val="000000"/>
          <w:kern w:val="0"/>
        </w:rPr>
      </w:pPr>
      <w:r>
        <w:rPr>
          <w:rFonts w:ascii="宋体" w:hAnsi="宋体" w:cs="宋体"/>
          <w:b/>
          <w:bCs/>
          <w:color w:val="000000"/>
          <w:kern w:val="0"/>
        </w:rPr>
        <w:t xml:space="preserve">8.3   </w:t>
      </w:r>
      <w:r>
        <w:rPr>
          <w:rFonts w:hint="eastAsia" w:ascii="宋体" w:hAnsi="宋体" w:cs="宋体"/>
          <w:b/>
          <w:bCs/>
          <w:color w:val="000000"/>
          <w:kern w:val="0"/>
        </w:rPr>
        <w:t>报告正文</w:t>
      </w:r>
    </w:p>
    <w:p>
      <w:pPr>
        <w:tabs>
          <w:tab w:val="left" w:pos="567"/>
        </w:tabs>
        <w:spacing w:line="360" w:lineRule="auto"/>
        <w:ind w:firstLine="420"/>
        <w:rPr>
          <w:rFonts w:ascii="宋体"/>
          <w:color w:val="000000"/>
          <w:kern w:val="0"/>
        </w:rPr>
      </w:pPr>
      <w:r>
        <w:rPr>
          <w:rFonts w:hint="eastAsia" w:ascii="宋体" w:hAnsi="宋体" w:cs="宋体"/>
          <w:color w:val="000000"/>
          <w:kern w:val="0"/>
        </w:rPr>
        <w:t>报告正文中应包括如下内容：</w:t>
      </w:r>
    </w:p>
    <w:p>
      <w:pPr>
        <w:tabs>
          <w:tab w:val="left" w:pos="567"/>
          <w:tab w:val="left" w:pos="675"/>
        </w:tabs>
        <w:spacing w:line="360" w:lineRule="auto"/>
        <w:ind w:firstLine="517" w:firstLineChars="245"/>
        <w:rPr>
          <w:rFonts w:ascii="宋体"/>
          <w:color w:val="000000"/>
          <w:kern w:val="0"/>
        </w:rPr>
      </w:pPr>
      <w:r>
        <w:rPr>
          <w:rFonts w:ascii="宋体" w:hAnsi="宋体" w:cs="宋体"/>
          <w:b/>
          <w:bCs/>
          <w:color w:val="000000"/>
          <w:kern w:val="0"/>
        </w:rPr>
        <w:t xml:space="preserve">1  </w:t>
      </w:r>
      <w:r>
        <w:rPr>
          <w:rFonts w:ascii="宋体"/>
          <w:color w:val="000000"/>
          <w:kern w:val="0"/>
        </w:rPr>
        <w:tab/>
      </w:r>
      <w:r>
        <w:rPr>
          <w:rFonts w:hint="eastAsia" w:ascii="宋体" w:hAnsi="宋体" w:cs="宋体"/>
          <w:color w:val="000000"/>
          <w:kern w:val="0"/>
        </w:rPr>
        <w:t>受评主体的基本信息；</w:t>
      </w:r>
    </w:p>
    <w:p>
      <w:pPr>
        <w:tabs>
          <w:tab w:val="left" w:pos="567"/>
          <w:tab w:val="left" w:pos="885"/>
        </w:tabs>
        <w:spacing w:line="360" w:lineRule="auto"/>
        <w:ind w:firstLine="517" w:firstLineChars="245"/>
        <w:rPr>
          <w:rFonts w:ascii="宋体"/>
          <w:color w:val="000000"/>
          <w:kern w:val="0"/>
        </w:rPr>
      </w:pPr>
      <w:r>
        <w:rPr>
          <w:rFonts w:ascii="宋体" w:hAnsi="宋体" w:cs="宋体"/>
          <w:b/>
          <w:bCs/>
          <w:color w:val="000000"/>
          <w:kern w:val="0"/>
        </w:rPr>
        <w:t>2</w:t>
      </w:r>
      <w:r>
        <w:rPr>
          <w:rFonts w:ascii="宋体" w:hAnsi="宋体" w:cs="宋体"/>
          <w:color w:val="000000"/>
          <w:kern w:val="0"/>
        </w:rPr>
        <w:t xml:space="preserve"> </w:t>
      </w:r>
      <w:r>
        <w:rPr>
          <w:rFonts w:ascii="宋体"/>
          <w:color w:val="000000"/>
          <w:kern w:val="0"/>
        </w:rPr>
        <w:tab/>
      </w:r>
      <w:r>
        <w:rPr>
          <w:rFonts w:hint="eastAsia" w:ascii="宋体" w:hAnsi="宋体" w:cs="宋体"/>
          <w:color w:val="000000"/>
          <w:kern w:val="0"/>
        </w:rPr>
        <w:t>受评主体企业资质；</w:t>
      </w:r>
    </w:p>
    <w:p>
      <w:pPr>
        <w:tabs>
          <w:tab w:val="left" w:pos="567"/>
          <w:tab w:val="left" w:pos="885"/>
        </w:tabs>
        <w:spacing w:line="360" w:lineRule="auto"/>
        <w:ind w:firstLine="517" w:firstLineChars="245"/>
        <w:rPr>
          <w:rFonts w:ascii="宋体"/>
          <w:color w:val="000000"/>
          <w:kern w:val="0"/>
        </w:rPr>
      </w:pPr>
      <w:r>
        <w:rPr>
          <w:rFonts w:ascii="宋体" w:hAnsi="宋体" w:cs="宋体"/>
          <w:b/>
          <w:bCs/>
          <w:color w:val="000000"/>
          <w:kern w:val="0"/>
        </w:rPr>
        <w:t xml:space="preserve">3 </w:t>
      </w:r>
      <w:r>
        <w:rPr>
          <w:rFonts w:ascii="宋体"/>
          <w:color w:val="000000"/>
          <w:kern w:val="0"/>
        </w:rPr>
        <w:tab/>
      </w:r>
      <w:r>
        <w:rPr>
          <w:rFonts w:hint="eastAsia" w:ascii="宋体" w:hAnsi="宋体" w:cs="宋体"/>
          <w:color w:val="000000"/>
          <w:kern w:val="0"/>
        </w:rPr>
        <w:t>受评主体知识产权；</w:t>
      </w:r>
    </w:p>
    <w:p>
      <w:pPr>
        <w:tabs>
          <w:tab w:val="left" w:pos="567"/>
          <w:tab w:val="left" w:pos="993"/>
        </w:tabs>
        <w:spacing w:line="360" w:lineRule="auto"/>
        <w:ind w:firstLine="517" w:firstLineChars="245"/>
        <w:rPr>
          <w:rFonts w:ascii="宋体"/>
          <w:color w:val="000000"/>
          <w:kern w:val="0"/>
        </w:rPr>
      </w:pPr>
      <w:r>
        <w:rPr>
          <w:rFonts w:ascii="宋体" w:hAnsi="宋体" w:cs="宋体"/>
          <w:b/>
          <w:bCs/>
          <w:color w:val="000000"/>
          <w:kern w:val="0"/>
        </w:rPr>
        <w:t xml:space="preserve">4 </w:t>
      </w:r>
      <w:r>
        <w:rPr>
          <w:rFonts w:ascii="宋体" w:hAnsi="宋体" w:cs="宋体"/>
          <w:color w:val="000000"/>
          <w:kern w:val="0"/>
        </w:rPr>
        <w:t xml:space="preserve">  </w:t>
      </w:r>
      <w:r>
        <w:rPr>
          <w:rFonts w:hint="eastAsia" w:ascii="宋体" w:hAnsi="宋体" w:cs="宋体"/>
          <w:color w:val="000000"/>
          <w:kern w:val="0"/>
        </w:rPr>
        <w:t>受评主体的代表工程及荣誉记录；</w:t>
      </w:r>
    </w:p>
    <w:p>
      <w:pPr>
        <w:tabs>
          <w:tab w:val="left" w:pos="567"/>
          <w:tab w:val="left" w:pos="885"/>
        </w:tabs>
        <w:spacing w:line="360" w:lineRule="auto"/>
        <w:ind w:firstLine="517" w:firstLineChars="245"/>
        <w:rPr>
          <w:rFonts w:ascii="宋体"/>
          <w:color w:val="000000"/>
          <w:kern w:val="0"/>
        </w:rPr>
      </w:pPr>
      <w:r>
        <w:rPr>
          <w:rFonts w:ascii="宋体" w:hAnsi="宋体" w:cs="宋体"/>
          <w:b/>
          <w:bCs/>
          <w:color w:val="000000"/>
          <w:kern w:val="0"/>
        </w:rPr>
        <w:t xml:space="preserve">5 </w:t>
      </w:r>
      <w:r>
        <w:rPr>
          <w:rFonts w:ascii="宋体"/>
          <w:color w:val="000000"/>
          <w:kern w:val="0"/>
        </w:rPr>
        <w:tab/>
      </w:r>
      <w:r>
        <w:rPr>
          <w:rFonts w:hint="eastAsia" w:ascii="宋体" w:hAnsi="宋体" w:cs="宋体"/>
          <w:color w:val="000000"/>
          <w:kern w:val="0"/>
        </w:rPr>
        <w:t>受评主体的制度建设及制度执行情况；</w:t>
      </w:r>
    </w:p>
    <w:p>
      <w:pPr>
        <w:tabs>
          <w:tab w:val="left" w:pos="567"/>
          <w:tab w:val="left" w:pos="885"/>
        </w:tabs>
        <w:spacing w:line="360" w:lineRule="auto"/>
        <w:ind w:firstLine="517" w:firstLineChars="245"/>
        <w:rPr>
          <w:rFonts w:ascii="宋体"/>
          <w:color w:val="000000"/>
          <w:kern w:val="0"/>
        </w:rPr>
      </w:pPr>
      <w:r>
        <w:rPr>
          <w:rFonts w:ascii="宋体" w:hAnsi="宋体" w:cs="宋体"/>
          <w:b/>
          <w:bCs/>
          <w:color w:val="000000"/>
          <w:kern w:val="0"/>
        </w:rPr>
        <w:t xml:space="preserve">6 </w:t>
      </w:r>
      <w:r>
        <w:rPr>
          <w:rFonts w:ascii="宋体"/>
          <w:color w:val="000000"/>
          <w:kern w:val="0"/>
        </w:rPr>
        <w:tab/>
      </w:r>
      <w:r>
        <w:rPr>
          <w:rFonts w:hint="eastAsia" w:ascii="宋体" w:hAnsi="宋体" w:cs="宋体"/>
          <w:color w:val="000000"/>
          <w:kern w:val="0"/>
        </w:rPr>
        <w:t>受评主体信息化建设情况；</w:t>
      </w:r>
    </w:p>
    <w:p>
      <w:pPr>
        <w:tabs>
          <w:tab w:val="left" w:pos="567"/>
          <w:tab w:val="left" w:pos="885"/>
        </w:tabs>
        <w:spacing w:line="360" w:lineRule="auto"/>
        <w:ind w:firstLine="517" w:firstLineChars="245"/>
        <w:rPr>
          <w:rFonts w:ascii="宋体"/>
          <w:color w:val="000000"/>
          <w:kern w:val="0"/>
        </w:rPr>
      </w:pPr>
      <w:r>
        <w:rPr>
          <w:rFonts w:ascii="宋体" w:hAnsi="宋体" w:cs="宋体"/>
          <w:b/>
          <w:bCs/>
          <w:color w:val="000000"/>
          <w:kern w:val="0"/>
        </w:rPr>
        <w:t xml:space="preserve">7 </w:t>
      </w:r>
      <w:r>
        <w:rPr>
          <w:rFonts w:ascii="宋体"/>
          <w:color w:val="000000"/>
          <w:kern w:val="0"/>
        </w:rPr>
        <w:tab/>
      </w:r>
      <w:r>
        <w:rPr>
          <w:rFonts w:hint="eastAsia" w:ascii="宋体" w:hAnsi="宋体" w:cs="宋体"/>
          <w:color w:val="000000"/>
          <w:kern w:val="0"/>
        </w:rPr>
        <w:t>受评主体的行业地位分析；</w:t>
      </w:r>
    </w:p>
    <w:p>
      <w:pPr>
        <w:tabs>
          <w:tab w:val="left" w:pos="567"/>
          <w:tab w:val="left" w:pos="993"/>
        </w:tabs>
        <w:spacing w:line="360" w:lineRule="auto"/>
        <w:ind w:firstLine="517" w:firstLineChars="245"/>
        <w:rPr>
          <w:rFonts w:ascii="宋体"/>
          <w:color w:val="000000"/>
          <w:kern w:val="0"/>
        </w:rPr>
      </w:pPr>
      <w:r>
        <w:rPr>
          <w:rFonts w:ascii="宋体" w:hAnsi="宋体" w:cs="宋体"/>
          <w:b/>
          <w:bCs/>
          <w:color w:val="000000"/>
          <w:kern w:val="0"/>
        </w:rPr>
        <w:t>8</w:t>
      </w:r>
      <w:r>
        <w:rPr>
          <w:rFonts w:ascii="宋体" w:hAnsi="宋体" w:cs="宋体"/>
          <w:color w:val="000000"/>
          <w:kern w:val="0"/>
        </w:rPr>
        <w:t xml:space="preserve">   </w:t>
      </w:r>
      <w:r>
        <w:rPr>
          <w:rFonts w:hint="eastAsia" w:ascii="宋体" w:hAnsi="宋体" w:cs="宋体"/>
          <w:color w:val="000000"/>
          <w:kern w:val="0"/>
        </w:rPr>
        <w:t>受评主体的运营效率分析；</w:t>
      </w:r>
    </w:p>
    <w:p>
      <w:pPr>
        <w:tabs>
          <w:tab w:val="left" w:pos="567"/>
          <w:tab w:val="left" w:pos="885"/>
        </w:tabs>
        <w:spacing w:line="360" w:lineRule="auto"/>
        <w:ind w:firstLine="517" w:firstLineChars="245"/>
        <w:rPr>
          <w:rFonts w:ascii="宋体"/>
          <w:color w:val="000000"/>
          <w:kern w:val="0"/>
        </w:rPr>
      </w:pPr>
      <w:r>
        <w:rPr>
          <w:rFonts w:ascii="宋体" w:hAnsi="宋体" w:cs="宋体"/>
          <w:b/>
          <w:bCs/>
          <w:color w:val="000000"/>
          <w:kern w:val="0"/>
        </w:rPr>
        <w:t>9</w:t>
      </w:r>
      <w:r>
        <w:rPr>
          <w:rFonts w:ascii="宋体" w:hAnsi="宋体" w:cs="宋体"/>
          <w:color w:val="000000"/>
          <w:kern w:val="0"/>
        </w:rPr>
        <w:t xml:space="preserve"> </w:t>
      </w:r>
      <w:r>
        <w:rPr>
          <w:rFonts w:ascii="宋体"/>
          <w:color w:val="000000"/>
          <w:kern w:val="0"/>
        </w:rPr>
        <w:tab/>
      </w:r>
      <w:r>
        <w:rPr>
          <w:rFonts w:hint="eastAsia" w:ascii="宋体" w:hAnsi="宋体" w:cs="宋体"/>
          <w:color w:val="000000"/>
          <w:kern w:val="0"/>
        </w:rPr>
        <w:t>受评主体的财务实力分析；</w:t>
      </w:r>
    </w:p>
    <w:p>
      <w:pPr>
        <w:tabs>
          <w:tab w:val="left" w:pos="567"/>
          <w:tab w:val="left" w:pos="930"/>
        </w:tabs>
        <w:spacing w:line="360" w:lineRule="auto"/>
        <w:ind w:firstLine="411" w:firstLineChars="195"/>
        <w:rPr>
          <w:rFonts w:ascii="宋体"/>
          <w:color w:val="000000"/>
          <w:kern w:val="0"/>
        </w:rPr>
      </w:pPr>
      <w:r>
        <w:rPr>
          <w:rFonts w:ascii="宋体" w:hAnsi="宋体" w:cs="宋体"/>
          <w:b/>
          <w:bCs/>
          <w:color w:val="000000"/>
          <w:kern w:val="0"/>
        </w:rPr>
        <w:t xml:space="preserve">10 </w:t>
      </w:r>
      <w:r>
        <w:rPr>
          <w:rFonts w:ascii="宋体"/>
          <w:color w:val="000000"/>
          <w:kern w:val="0"/>
        </w:rPr>
        <w:tab/>
      </w:r>
      <w:r>
        <w:rPr>
          <w:rFonts w:hint="eastAsia" w:ascii="宋体" w:hAnsi="宋体" w:cs="宋体"/>
          <w:color w:val="000000"/>
          <w:kern w:val="0"/>
        </w:rPr>
        <w:t>受评主体的商业信用记录；</w:t>
      </w:r>
    </w:p>
    <w:p>
      <w:pPr>
        <w:tabs>
          <w:tab w:val="left" w:pos="567"/>
          <w:tab w:val="left" w:pos="930"/>
        </w:tabs>
        <w:spacing w:line="360" w:lineRule="auto"/>
        <w:ind w:firstLine="413" w:firstLineChars="196"/>
        <w:rPr>
          <w:rFonts w:ascii="宋体"/>
          <w:color w:val="000000"/>
          <w:kern w:val="0"/>
        </w:rPr>
      </w:pPr>
      <w:r>
        <w:rPr>
          <w:rFonts w:ascii="宋体" w:hAnsi="宋体" w:cs="宋体"/>
          <w:b/>
          <w:bCs/>
          <w:color w:val="000000"/>
          <w:kern w:val="0"/>
        </w:rPr>
        <w:t>11</w:t>
      </w:r>
      <w:r>
        <w:rPr>
          <w:rFonts w:ascii="宋体"/>
          <w:color w:val="000000"/>
          <w:kern w:val="0"/>
        </w:rPr>
        <w:tab/>
      </w:r>
      <w:r>
        <w:rPr>
          <w:rFonts w:hint="eastAsia" w:ascii="宋体" w:hAnsi="宋体" w:cs="宋体"/>
          <w:color w:val="000000"/>
          <w:kern w:val="0"/>
        </w:rPr>
        <w:t>受评主体的公共信用记录。</w:t>
      </w:r>
    </w:p>
    <w:p>
      <w:pPr>
        <w:tabs>
          <w:tab w:val="left" w:pos="567"/>
          <w:tab w:val="left" w:pos="993"/>
        </w:tabs>
        <w:spacing w:line="360" w:lineRule="auto"/>
        <w:rPr>
          <w:rFonts w:ascii="宋体"/>
          <w:b/>
          <w:bCs/>
          <w:color w:val="000000"/>
          <w:kern w:val="0"/>
        </w:rPr>
      </w:pPr>
      <w:r>
        <w:rPr>
          <w:rFonts w:ascii="宋体" w:hAnsi="宋体" w:cs="宋体"/>
          <w:b/>
          <w:bCs/>
          <w:color w:val="000000"/>
          <w:kern w:val="0"/>
        </w:rPr>
        <w:t xml:space="preserve">8.4   </w:t>
      </w:r>
      <w:r>
        <w:rPr>
          <w:rFonts w:hint="eastAsia" w:ascii="宋体" w:hAnsi="宋体" w:cs="宋体"/>
          <w:b/>
          <w:bCs/>
          <w:color w:val="000000"/>
          <w:kern w:val="0"/>
        </w:rPr>
        <w:t>评价结论</w:t>
      </w:r>
    </w:p>
    <w:p>
      <w:pPr>
        <w:widowControl/>
        <w:autoSpaceDE w:val="0"/>
        <w:autoSpaceDN w:val="0"/>
        <w:spacing w:line="360" w:lineRule="auto"/>
        <w:ind w:firstLine="420" w:firstLineChars="200"/>
        <w:rPr>
          <w:rFonts w:ascii="宋体"/>
          <w:color w:val="000000"/>
          <w:kern w:val="0"/>
        </w:rPr>
      </w:pPr>
      <w:bookmarkStart w:id="47" w:name="_Toc128885586"/>
      <w:r>
        <w:rPr>
          <w:rFonts w:hint="eastAsia" w:ascii="宋体" w:hAnsi="宋体" w:cs="宋体"/>
          <w:color w:val="000000"/>
          <w:kern w:val="0"/>
        </w:rPr>
        <w:t>评价结论应当写明信用等级级别及释义、评价结论的主要依据，并简要说明本次评价过程和受评主体的信用风险点。</w:t>
      </w:r>
    </w:p>
    <w:p>
      <w:pPr>
        <w:tabs>
          <w:tab w:val="left" w:pos="567"/>
          <w:tab w:val="left" w:pos="993"/>
        </w:tabs>
        <w:spacing w:line="360" w:lineRule="auto"/>
        <w:rPr>
          <w:rFonts w:ascii="宋体"/>
          <w:b/>
          <w:bCs/>
          <w:color w:val="000000"/>
          <w:kern w:val="0"/>
        </w:rPr>
      </w:pPr>
      <w:r>
        <w:rPr>
          <w:rFonts w:ascii="宋体" w:hAnsi="宋体" w:cs="宋体"/>
          <w:b/>
          <w:bCs/>
          <w:color w:val="000000"/>
          <w:kern w:val="0"/>
        </w:rPr>
        <w:t xml:space="preserve">8.5  </w:t>
      </w:r>
      <w:r>
        <w:rPr>
          <w:rFonts w:hint="eastAsia" w:ascii="宋体" w:hAnsi="宋体" w:cs="宋体"/>
          <w:b/>
          <w:bCs/>
          <w:color w:val="000000"/>
          <w:kern w:val="0"/>
        </w:rPr>
        <w:t>跟踪评价安排</w:t>
      </w:r>
      <w:bookmarkEnd w:id="47"/>
    </w:p>
    <w:p>
      <w:pPr>
        <w:spacing w:line="360" w:lineRule="auto"/>
        <w:ind w:firstLine="510" w:firstLineChars="242"/>
        <w:jc w:val="left"/>
        <w:rPr>
          <w:rFonts w:ascii="宋体"/>
          <w:color w:val="000000"/>
          <w:kern w:val="0"/>
        </w:rPr>
      </w:pPr>
      <w:r>
        <w:rPr>
          <w:rFonts w:ascii="宋体" w:hAnsi="宋体" w:cs="宋体"/>
          <w:b/>
          <w:bCs/>
          <w:color w:val="000000"/>
          <w:kern w:val="0"/>
        </w:rPr>
        <w:t xml:space="preserve">1  </w:t>
      </w:r>
      <w:r>
        <w:rPr>
          <w:rFonts w:hint="eastAsia" w:ascii="宋体" w:hAnsi="宋体" w:cs="宋体"/>
          <w:color w:val="000000"/>
          <w:kern w:val="0"/>
        </w:rPr>
        <w:t>跟踪评价安排包括定期跟踪评价和不定期跟踪评价。</w:t>
      </w:r>
    </w:p>
    <w:p>
      <w:pPr>
        <w:spacing w:line="360" w:lineRule="auto"/>
        <w:ind w:firstLine="525" w:firstLineChars="249"/>
        <w:rPr>
          <w:rFonts w:ascii="宋体"/>
          <w:color w:val="000000"/>
          <w:kern w:val="0"/>
        </w:rPr>
      </w:pPr>
      <w:r>
        <w:rPr>
          <w:rFonts w:ascii="宋体" w:hAnsi="宋体" w:cs="宋体"/>
          <w:b/>
          <w:bCs/>
          <w:color w:val="000000"/>
          <w:kern w:val="0"/>
        </w:rPr>
        <w:t xml:space="preserve">2  </w:t>
      </w:r>
      <w:r>
        <w:rPr>
          <w:rFonts w:hint="eastAsia" w:ascii="宋体" w:hAnsi="宋体" w:cs="宋体"/>
          <w:color w:val="000000"/>
          <w:kern w:val="0"/>
        </w:rPr>
        <w:t>跟踪评价安排应在首次评价报告中说明信用等级时效限定内的跟踪评价时间、评价范围、出具评价报告方式等内容，持续揭示受评主体的信用变化。</w:t>
      </w:r>
    </w:p>
    <w:p>
      <w:pPr>
        <w:tabs>
          <w:tab w:val="left" w:pos="567"/>
          <w:tab w:val="left" w:pos="993"/>
        </w:tabs>
        <w:spacing w:line="360" w:lineRule="auto"/>
        <w:rPr>
          <w:rFonts w:ascii="宋体"/>
          <w:b/>
          <w:bCs/>
          <w:color w:val="000000"/>
          <w:kern w:val="0"/>
        </w:rPr>
      </w:pPr>
      <w:r>
        <w:rPr>
          <w:rFonts w:ascii="宋体" w:hAnsi="宋体" w:cs="宋体"/>
          <w:b/>
          <w:bCs/>
          <w:color w:val="000000"/>
          <w:kern w:val="0"/>
        </w:rPr>
        <w:t xml:space="preserve">8.6  </w:t>
      </w:r>
      <w:r>
        <w:rPr>
          <w:rFonts w:hint="eastAsia" w:ascii="宋体" w:hAnsi="宋体" w:cs="宋体"/>
          <w:b/>
          <w:bCs/>
          <w:color w:val="000000"/>
          <w:kern w:val="0"/>
        </w:rPr>
        <w:t>信用评价报告附录</w:t>
      </w:r>
    </w:p>
    <w:p>
      <w:pPr>
        <w:widowControl/>
        <w:autoSpaceDE w:val="0"/>
        <w:autoSpaceDN w:val="0"/>
        <w:spacing w:line="360" w:lineRule="auto"/>
        <w:ind w:firstLine="420" w:firstLineChars="200"/>
        <w:rPr>
          <w:rFonts w:ascii="宋体"/>
          <w:color w:val="000000"/>
          <w:kern w:val="0"/>
        </w:rPr>
      </w:pPr>
      <w:r>
        <w:rPr>
          <w:rFonts w:hint="eastAsia" w:ascii="宋体" w:hAnsi="宋体" w:cs="宋体"/>
          <w:color w:val="000000"/>
          <w:kern w:val="0"/>
        </w:rPr>
        <w:t>信用评价报告附录部分应当收录与此次评价相关的其他重要事项。应包括以下内容：</w:t>
      </w:r>
    </w:p>
    <w:p>
      <w:pPr>
        <w:widowControl/>
        <w:autoSpaceDE w:val="0"/>
        <w:autoSpaceDN w:val="0"/>
        <w:spacing w:line="360" w:lineRule="auto"/>
        <w:ind w:firstLine="517" w:firstLineChars="245"/>
        <w:rPr>
          <w:rFonts w:ascii="宋体"/>
          <w:color w:val="000000"/>
          <w:kern w:val="0"/>
        </w:rPr>
      </w:pPr>
      <w:r>
        <w:rPr>
          <w:rFonts w:ascii="宋体" w:hAnsi="宋体" w:cs="宋体"/>
          <w:b/>
          <w:bCs/>
          <w:color w:val="000000"/>
          <w:kern w:val="0"/>
        </w:rPr>
        <w:t>1</w:t>
      </w:r>
      <w:r>
        <w:rPr>
          <w:rFonts w:ascii="宋体" w:hAnsi="宋体" w:cs="宋体"/>
          <w:color w:val="000000"/>
          <w:kern w:val="0"/>
        </w:rPr>
        <w:t xml:space="preserve">  </w:t>
      </w:r>
      <w:r>
        <w:rPr>
          <w:rFonts w:hint="eastAsia" w:ascii="宋体" w:hAnsi="宋体" w:cs="宋体"/>
          <w:color w:val="000000"/>
          <w:kern w:val="0"/>
        </w:rPr>
        <w:t>中国建筑装饰行业企业主体信用等级分类及释义；</w:t>
      </w:r>
    </w:p>
    <w:p>
      <w:pPr>
        <w:widowControl/>
        <w:autoSpaceDE w:val="0"/>
        <w:autoSpaceDN w:val="0"/>
        <w:spacing w:line="360" w:lineRule="auto"/>
        <w:ind w:firstLine="517" w:firstLineChars="245"/>
        <w:rPr>
          <w:rFonts w:ascii="宋体"/>
          <w:color w:val="000000"/>
          <w:kern w:val="0"/>
        </w:rPr>
      </w:pPr>
      <w:r>
        <w:rPr>
          <w:rFonts w:ascii="宋体" w:hAnsi="宋体" w:cs="宋体"/>
          <w:b/>
          <w:bCs/>
          <w:color w:val="000000"/>
          <w:kern w:val="0"/>
        </w:rPr>
        <w:t xml:space="preserve">2 </w:t>
      </w:r>
      <w:r>
        <w:rPr>
          <w:rFonts w:ascii="宋体" w:hAnsi="宋体" w:cs="宋体"/>
          <w:color w:val="000000"/>
          <w:kern w:val="0"/>
        </w:rPr>
        <w:t xml:space="preserve"> </w:t>
      </w:r>
      <w:r>
        <w:rPr>
          <w:rFonts w:hint="eastAsia" w:ascii="宋体" w:hAnsi="宋体" w:cs="宋体"/>
          <w:color w:val="000000"/>
          <w:kern w:val="0"/>
        </w:rPr>
        <w:t>受评主体近年度主要财务数据及财务指标；</w:t>
      </w:r>
    </w:p>
    <w:p>
      <w:pPr>
        <w:widowControl/>
        <w:autoSpaceDE w:val="0"/>
        <w:autoSpaceDN w:val="0"/>
        <w:spacing w:line="360" w:lineRule="auto"/>
        <w:ind w:firstLine="517" w:firstLineChars="245"/>
        <w:rPr>
          <w:rFonts w:ascii="宋体"/>
          <w:color w:val="000000"/>
          <w:kern w:val="0"/>
        </w:rPr>
      </w:pPr>
      <w:r>
        <w:rPr>
          <w:rFonts w:ascii="宋体" w:hAnsi="宋体" w:cs="宋体"/>
          <w:b/>
          <w:bCs/>
          <w:color w:val="000000"/>
          <w:kern w:val="0"/>
        </w:rPr>
        <w:t xml:space="preserve">3 </w:t>
      </w:r>
      <w:r>
        <w:rPr>
          <w:rFonts w:ascii="宋体" w:hAnsi="宋体" w:cs="宋体"/>
          <w:color w:val="000000"/>
          <w:kern w:val="0"/>
        </w:rPr>
        <w:t xml:space="preserve"> </w:t>
      </w:r>
      <w:r>
        <w:rPr>
          <w:rFonts w:hint="eastAsia" w:ascii="宋体" w:hAnsi="宋体" w:cs="宋体"/>
          <w:color w:val="000000"/>
          <w:kern w:val="0"/>
        </w:rPr>
        <w:t>其他。</w:t>
      </w:r>
    </w:p>
    <w:p>
      <w:pPr>
        <w:spacing w:before="1"/>
        <w:ind w:left="904"/>
        <w:jc w:val="left"/>
        <w:outlineLvl w:val="0"/>
        <w:rPr>
          <w:rFonts w:ascii="宋体"/>
          <w:b/>
          <w:bCs/>
          <w:color w:val="000000"/>
          <w:sz w:val="32"/>
          <w:szCs w:val="32"/>
        </w:rPr>
      </w:pPr>
      <w:bookmarkStart w:id="48" w:name="_Toc128885578"/>
      <w:bookmarkStart w:id="49" w:name="_Toc396315865"/>
      <w:bookmarkStart w:id="50" w:name="_Toc129004580"/>
      <w:bookmarkStart w:id="51" w:name="_Toc150583015"/>
      <w:bookmarkStart w:id="52" w:name="_Toc128908834"/>
      <w:bookmarkStart w:id="53" w:name="_Toc129004494"/>
      <w:bookmarkStart w:id="54" w:name="_Toc475950074"/>
      <w:bookmarkStart w:id="55" w:name="_Toc128908888"/>
      <w:bookmarkStart w:id="56" w:name="_Toc129004644"/>
      <w:r>
        <w:rPr>
          <w:rFonts w:ascii="宋体" w:hAnsi="宋体" w:cs="宋体"/>
          <w:b/>
          <w:bCs/>
          <w:color w:val="000000"/>
          <w:sz w:val="32"/>
          <w:szCs w:val="32"/>
        </w:rPr>
        <w:t xml:space="preserve">9 </w:t>
      </w:r>
      <w:r>
        <w:rPr>
          <w:rFonts w:hint="eastAsia" w:ascii="宋体" w:hAnsi="宋体" w:cs="宋体"/>
          <w:b/>
          <w:bCs/>
          <w:color w:val="000000"/>
          <w:sz w:val="32"/>
          <w:szCs w:val="32"/>
        </w:rPr>
        <w:t>评价结果发布</w:t>
      </w:r>
      <w:bookmarkEnd w:id="48"/>
      <w:bookmarkEnd w:id="49"/>
      <w:bookmarkEnd w:id="50"/>
      <w:bookmarkEnd w:id="51"/>
      <w:bookmarkEnd w:id="52"/>
      <w:bookmarkEnd w:id="53"/>
      <w:bookmarkEnd w:id="54"/>
      <w:bookmarkEnd w:id="55"/>
      <w:bookmarkEnd w:id="56"/>
    </w:p>
    <w:p>
      <w:pPr>
        <w:spacing w:line="360" w:lineRule="auto"/>
        <w:rPr>
          <w:rFonts w:ascii="宋体"/>
          <w:color w:val="000000"/>
          <w:kern w:val="0"/>
        </w:rPr>
      </w:pPr>
      <w:r>
        <w:rPr>
          <w:rFonts w:ascii="宋体" w:hAnsi="宋体" w:cs="宋体"/>
          <w:b/>
          <w:bCs/>
          <w:color w:val="000000"/>
          <w:kern w:val="0"/>
        </w:rPr>
        <w:t xml:space="preserve">9.0.1  </w:t>
      </w:r>
      <w:r>
        <w:rPr>
          <w:rFonts w:hint="eastAsia" w:ascii="宋体" w:hAnsi="宋体" w:cs="宋体"/>
          <w:color w:val="000000"/>
          <w:kern w:val="0"/>
        </w:rPr>
        <w:t>信用评价结果将统一在中国建筑装饰协会指定的公共媒体发布。</w:t>
      </w:r>
    </w:p>
    <w:p>
      <w:pPr>
        <w:tabs>
          <w:tab w:val="left" w:pos="907"/>
        </w:tabs>
        <w:spacing w:line="360" w:lineRule="auto"/>
        <w:rPr>
          <w:rFonts w:ascii="宋体"/>
          <w:color w:val="000000"/>
          <w:kern w:val="0"/>
        </w:rPr>
      </w:pPr>
      <w:r>
        <w:rPr>
          <w:rFonts w:ascii="宋体" w:hAnsi="宋体" w:cs="宋体"/>
          <w:b/>
          <w:bCs/>
          <w:color w:val="000000"/>
          <w:kern w:val="0"/>
        </w:rPr>
        <w:t xml:space="preserve">9.0.2  </w:t>
      </w:r>
      <w:r>
        <w:rPr>
          <w:rFonts w:hint="eastAsia" w:ascii="宋体" w:hAnsi="宋体" w:cs="宋体"/>
          <w:color w:val="000000"/>
          <w:kern w:val="0"/>
        </w:rPr>
        <w:t>信用评价结果发布的内容一般包括受评主体名称、信用等级、简要描述及主要支持数据。</w:t>
      </w:r>
      <w:bookmarkStart w:id="57" w:name="_Toc396315866"/>
    </w:p>
    <w:p>
      <w:pPr>
        <w:widowControl/>
        <w:jc w:val="center"/>
        <w:rPr>
          <w:rFonts w:ascii="宋体"/>
          <w:color w:val="000000"/>
          <w:sz w:val="32"/>
          <w:szCs w:val="32"/>
        </w:rPr>
      </w:pPr>
      <w:r>
        <w:rPr>
          <w:rFonts w:ascii="宋体"/>
          <w:color w:val="000000"/>
          <w:sz w:val="32"/>
          <w:szCs w:val="32"/>
        </w:rPr>
        <w:br w:type="page"/>
      </w:r>
      <w:bookmarkStart w:id="58" w:name="_Toc475950075"/>
      <w:r>
        <w:rPr>
          <w:rFonts w:hint="eastAsia" w:ascii="宋体" w:hAnsi="宋体" w:cs="宋体"/>
          <w:color w:val="000000"/>
          <w:sz w:val="32"/>
          <w:szCs w:val="32"/>
        </w:rPr>
        <w:t>附录</w:t>
      </w:r>
      <w:r>
        <w:rPr>
          <w:rFonts w:ascii="宋体" w:hAnsi="宋体" w:cs="宋体"/>
          <w:color w:val="000000"/>
          <w:sz w:val="32"/>
          <w:szCs w:val="32"/>
        </w:rPr>
        <w:t>A</w:t>
      </w:r>
      <w:bookmarkEnd w:id="57"/>
      <w:bookmarkEnd w:id="58"/>
      <w:r>
        <w:rPr>
          <w:rFonts w:ascii="宋体" w:hAnsi="宋体" w:cs="宋体"/>
          <w:color w:val="000000"/>
          <w:sz w:val="32"/>
          <w:szCs w:val="32"/>
        </w:rPr>
        <w:t xml:space="preserve"> </w:t>
      </w:r>
      <w:r>
        <w:rPr>
          <w:rFonts w:hint="eastAsia" w:ascii="宋体" w:hAnsi="宋体" w:cs="宋体"/>
          <w:b/>
          <w:bCs/>
          <w:color w:val="000000"/>
          <w:sz w:val="28"/>
          <w:szCs w:val="28"/>
        </w:rPr>
        <w:t>（规范性附录）</w:t>
      </w:r>
    </w:p>
    <w:p>
      <w:pPr>
        <w:spacing w:line="360" w:lineRule="auto"/>
        <w:jc w:val="center"/>
        <w:rPr>
          <w:rFonts w:ascii="宋体"/>
          <w:b/>
          <w:bCs/>
          <w:color w:val="000000"/>
          <w:sz w:val="28"/>
          <w:szCs w:val="28"/>
        </w:rPr>
      </w:pPr>
      <w:r>
        <w:rPr>
          <w:rFonts w:hint="eastAsia" w:ascii="宋体" w:hAnsi="宋体" w:cs="宋体"/>
          <w:b/>
          <w:bCs/>
          <w:color w:val="000000"/>
          <w:sz w:val="28"/>
          <w:szCs w:val="28"/>
        </w:rPr>
        <w:t>中国建筑装饰行业企业主体信用评价指标体系、权重及评分表</w:t>
      </w:r>
    </w:p>
    <w:p>
      <w:pPr>
        <w:spacing w:before="156" w:beforeLines="50"/>
        <w:ind w:left="-2" w:leftChars="-136" w:hanging="284" w:hangingChars="118"/>
        <w:rPr>
          <w:rFonts w:ascii="宋体"/>
          <w:b/>
          <w:bCs/>
          <w:color w:val="000000"/>
          <w:sz w:val="24"/>
          <w:szCs w:val="24"/>
        </w:rPr>
      </w:pPr>
      <w:r>
        <w:rPr>
          <w:rFonts w:hint="eastAsia" w:ascii="宋体" w:hAnsi="宋体" w:cs="宋体"/>
          <w:b/>
          <w:bCs/>
          <w:color w:val="000000"/>
          <w:sz w:val="24"/>
          <w:szCs w:val="24"/>
        </w:rPr>
        <w:t>一、受评主体基本素质</w:t>
      </w:r>
    </w:p>
    <w:p>
      <w:pPr>
        <w:spacing w:line="360" w:lineRule="auto"/>
        <w:ind w:left="-850" w:leftChars="-405" w:right="-710" w:rightChars="-338" w:firstLine="525" w:firstLineChars="250"/>
        <w:rPr>
          <w:rFonts w:ascii="宋体"/>
          <w:color w:val="000000"/>
        </w:rPr>
      </w:pPr>
      <w:r>
        <w:rPr>
          <w:rFonts w:hint="eastAsia" w:ascii="宋体" w:hAnsi="宋体" w:cs="宋体"/>
          <w:color w:val="000000"/>
        </w:rPr>
        <w:t>受评主体基本素质指标体系由五方面构成，分别是企业规模、经营年限及主要业绩、人力资源、股东背景、分支机构。权重为</w:t>
      </w:r>
      <w:r>
        <w:rPr>
          <w:rFonts w:ascii="宋体" w:hAnsi="宋体" w:cs="宋体"/>
          <w:color w:val="000000"/>
        </w:rPr>
        <w:t>5%</w:t>
      </w:r>
      <w:r>
        <w:rPr>
          <w:rFonts w:hint="eastAsia" w:ascii="宋体" w:hAnsi="宋体" w:cs="宋体"/>
          <w:color w:val="000000"/>
        </w:rPr>
        <w:t>。</w:t>
      </w:r>
    </w:p>
    <w:tbl>
      <w:tblPr>
        <w:tblStyle w:val="17"/>
        <w:tblW w:w="10239" w:type="dxa"/>
        <w:jc w:val="center"/>
        <w:tblLayout w:type="fixed"/>
        <w:tblCellMar>
          <w:top w:w="0" w:type="dxa"/>
          <w:left w:w="108" w:type="dxa"/>
          <w:bottom w:w="0" w:type="dxa"/>
          <w:right w:w="108" w:type="dxa"/>
        </w:tblCellMar>
      </w:tblPr>
      <w:tblGrid>
        <w:gridCol w:w="1025"/>
        <w:gridCol w:w="709"/>
        <w:gridCol w:w="992"/>
        <w:gridCol w:w="709"/>
        <w:gridCol w:w="992"/>
        <w:gridCol w:w="709"/>
        <w:gridCol w:w="2410"/>
        <w:gridCol w:w="1984"/>
        <w:gridCol w:w="709"/>
      </w:tblGrid>
      <w:tr>
        <w:tblPrEx>
          <w:tblCellMar>
            <w:top w:w="0" w:type="dxa"/>
            <w:left w:w="108" w:type="dxa"/>
            <w:bottom w:w="0" w:type="dxa"/>
            <w:right w:w="108" w:type="dxa"/>
          </w:tblCellMar>
        </w:tblPrEx>
        <w:trPr>
          <w:trHeight w:val="20" w:hRule="atLeast"/>
          <w:jc w:val="center"/>
        </w:trPr>
        <w:tc>
          <w:tcPr>
            <w:tcW w:w="1734"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一级指标</w:t>
            </w:r>
          </w:p>
        </w:tc>
        <w:tc>
          <w:tcPr>
            <w:tcW w:w="1701"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二级指标</w:t>
            </w:r>
          </w:p>
        </w:tc>
        <w:tc>
          <w:tcPr>
            <w:tcW w:w="1701"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三级指标</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指标说明</w:t>
            </w:r>
          </w:p>
        </w:tc>
        <w:tc>
          <w:tcPr>
            <w:tcW w:w="2693" w:type="dxa"/>
            <w:gridSpan w:val="2"/>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评价标准、评价方法和得分</w:t>
            </w:r>
          </w:p>
        </w:tc>
      </w:tr>
      <w:tr>
        <w:tblPrEx>
          <w:tblCellMar>
            <w:top w:w="0" w:type="dxa"/>
            <w:left w:w="108" w:type="dxa"/>
            <w:bottom w:w="0" w:type="dxa"/>
            <w:right w:w="108" w:type="dxa"/>
          </w:tblCellMar>
        </w:tblPrEx>
        <w:trPr>
          <w:trHeight w:val="20" w:hRule="atLeast"/>
          <w:jc w:val="center"/>
        </w:trPr>
        <w:tc>
          <w:tcPr>
            <w:tcW w:w="1025"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992"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992"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18"/>
                <w:szCs w:val="18"/>
              </w:rPr>
            </w:pPr>
          </w:p>
        </w:tc>
        <w:tc>
          <w:tcPr>
            <w:tcW w:w="26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025" w:type="dxa"/>
            <w:vMerge w:val="restart"/>
            <w:tcBorders>
              <w:top w:val="nil"/>
              <w:left w:val="single" w:color="auto" w:sz="4" w:space="0"/>
              <w:right w:val="single" w:color="auto" w:sz="4" w:space="0"/>
            </w:tcBorders>
            <w:vAlign w:val="center"/>
          </w:tcPr>
          <w:p>
            <w:pPr>
              <w:jc w:val="center"/>
              <w:rPr>
                <w:rFonts w:ascii="宋体"/>
                <w:color w:val="000000"/>
                <w:kern w:val="0"/>
                <w:sz w:val="18"/>
                <w:szCs w:val="18"/>
              </w:rPr>
            </w:pPr>
            <w:r>
              <w:rPr>
                <w:rFonts w:hint="eastAsia" w:ascii="宋体" w:hAnsi="宋体" w:cs="宋体"/>
                <w:color w:val="000000"/>
                <w:kern w:val="0"/>
                <w:sz w:val="18"/>
                <w:szCs w:val="18"/>
              </w:rPr>
              <w:t>企业基本素质</w:t>
            </w:r>
          </w:p>
        </w:tc>
        <w:tc>
          <w:tcPr>
            <w:tcW w:w="709" w:type="dxa"/>
            <w:vMerge w:val="restart"/>
            <w:tcBorders>
              <w:top w:val="nil"/>
              <w:left w:val="single" w:color="auto" w:sz="4" w:space="0"/>
              <w:right w:val="single" w:color="auto" w:sz="4" w:space="0"/>
            </w:tcBorders>
            <w:vAlign w:val="center"/>
          </w:tcPr>
          <w:p>
            <w:pPr>
              <w:jc w:val="center"/>
              <w:rPr>
                <w:rFonts w:ascii="宋体"/>
                <w:color w:val="000000"/>
                <w:kern w:val="0"/>
                <w:sz w:val="18"/>
                <w:szCs w:val="18"/>
              </w:rPr>
            </w:pPr>
            <w:r>
              <w:rPr>
                <w:rFonts w:ascii="宋体" w:hAnsi="宋体" w:cs="宋体"/>
                <w:color w:val="000000"/>
                <w:kern w:val="0"/>
                <w:sz w:val="18"/>
                <w:szCs w:val="18"/>
              </w:rPr>
              <w:t>5%</w:t>
            </w:r>
          </w:p>
        </w:tc>
        <w:tc>
          <w:tcPr>
            <w:tcW w:w="992" w:type="dxa"/>
            <w:vMerge w:val="restart"/>
            <w:tcBorders>
              <w:top w:val="nil"/>
              <w:left w:val="single" w:color="auto" w:sz="4" w:space="0"/>
              <w:right w:val="single" w:color="auto" w:sz="4" w:space="0"/>
            </w:tcBorders>
            <w:vAlign w:val="center"/>
          </w:tcPr>
          <w:p>
            <w:pPr>
              <w:jc w:val="center"/>
              <w:rPr>
                <w:rFonts w:ascii="宋体"/>
                <w:color w:val="000000"/>
                <w:kern w:val="0"/>
                <w:sz w:val="18"/>
                <w:szCs w:val="18"/>
              </w:rPr>
            </w:pPr>
            <w:r>
              <w:rPr>
                <w:rFonts w:hint="eastAsia" w:ascii="宋体" w:hAnsi="宋体" w:cs="宋体"/>
                <w:color w:val="000000"/>
                <w:kern w:val="0"/>
                <w:sz w:val="18"/>
                <w:szCs w:val="18"/>
              </w:rPr>
              <w:t>企业</w:t>
            </w:r>
          </w:p>
          <w:p>
            <w:pPr>
              <w:jc w:val="center"/>
              <w:rPr>
                <w:rFonts w:ascii="宋体"/>
                <w:color w:val="000000"/>
                <w:kern w:val="0"/>
                <w:sz w:val="18"/>
                <w:szCs w:val="18"/>
              </w:rPr>
            </w:pPr>
            <w:r>
              <w:rPr>
                <w:rFonts w:hint="eastAsia" w:ascii="宋体" w:hAnsi="宋体" w:cs="宋体"/>
                <w:color w:val="000000"/>
                <w:kern w:val="0"/>
                <w:sz w:val="18"/>
                <w:szCs w:val="18"/>
              </w:rPr>
              <w:t>规模</w:t>
            </w:r>
          </w:p>
        </w:tc>
        <w:tc>
          <w:tcPr>
            <w:tcW w:w="709" w:type="dxa"/>
            <w:vMerge w:val="restart"/>
            <w:tcBorders>
              <w:top w:val="nil"/>
              <w:left w:val="single" w:color="auto" w:sz="4" w:space="0"/>
              <w:right w:val="single" w:color="auto" w:sz="4" w:space="0"/>
            </w:tcBorders>
            <w:vAlign w:val="center"/>
          </w:tcPr>
          <w:p>
            <w:pPr>
              <w:jc w:val="center"/>
              <w:rPr>
                <w:rFonts w:ascii="宋体"/>
                <w:color w:val="000000"/>
                <w:kern w:val="0"/>
                <w:sz w:val="18"/>
                <w:szCs w:val="18"/>
              </w:rPr>
            </w:pPr>
            <w:r>
              <w:rPr>
                <w:rFonts w:ascii="宋体" w:hAnsi="宋体" w:cs="宋体"/>
                <w:color w:val="000000"/>
                <w:kern w:val="0"/>
                <w:sz w:val="18"/>
                <w:szCs w:val="18"/>
              </w:rPr>
              <w:t>25%</w:t>
            </w:r>
          </w:p>
        </w:tc>
        <w:tc>
          <w:tcPr>
            <w:tcW w:w="992" w:type="dxa"/>
            <w:vMerge w:val="restart"/>
            <w:tcBorders>
              <w:top w:val="nil"/>
              <w:left w:val="single" w:color="auto" w:sz="4" w:space="0"/>
              <w:right w:val="single" w:color="auto" w:sz="4" w:space="0"/>
            </w:tcBorders>
            <w:vAlign w:val="center"/>
          </w:tcPr>
          <w:p>
            <w:pPr>
              <w:jc w:val="center"/>
              <w:rPr>
                <w:rFonts w:ascii="宋体"/>
                <w:color w:val="000000"/>
                <w:kern w:val="0"/>
                <w:sz w:val="18"/>
                <w:szCs w:val="18"/>
              </w:rPr>
            </w:pPr>
            <w:r>
              <w:rPr>
                <w:rFonts w:hint="eastAsia" w:ascii="宋体" w:hAnsi="宋体" w:cs="宋体"/>
                <w:color w:val="000000"/>
                <w:kern w:val="0"/>
                <w:sz w:val="18"/>
                <w:szCs w:val="18"/>
              </w:rPr>
              <w:t>总资产</w:t>
            </w:r>
          </w:p>
          <w:p>
            <w:pPr>
              <w:jc w:val="center"/>
              <w:rPr>
                <w:rFonts w:ascii="宋体"/>
                <w:color w:val="000000"/>
                <w:kern w:val="0"/>
                <w:sz w:val="18"/>
                <w:szCs w:val="18"/>
              </w:rPr>
            </w:pPr>
            <w:r>
              <w:rPr>
                <w:rFonts w:hint="eastAsia" w:ascii="宋体" w:hAnsi="宋体" w:cs="宋体"/>
                <w:color w:val="000000"/>
                <w:kern w:val="0"/>
                <w:sz w:val="18"/>
                <w:szCs w:val="18"/>
              </w:rPr>
              <w:t>规模</w:t>
            </w:r>
          </w:p>
        </w:tc>
        <w:tc>
          <w:tcPr>
            <w:tcW w:w="709" w:type="dxa"/>
            <w:vMerge w:val="restart"/>
            <w:tcBorders>
              <w:top w:val="nil"/>
              <w:left w:val="single" w:color="auto" w:sz="4" w:space="0"/>
              <w:right w:val="single" w:color="auto" w:sz="4" w:space="0"/>
            </w:tcBorders>
            <w:vAlign w:val="center"/>
          </w:tcPr>
          <w:p>
            <w:pPr>
              <w:jc w:val="center"/>
              <w:rPr>
                <w:rFonts w:ascii="宋体"/>
                <w:color w:val="000000"/>
                <w:kern w:val="0"/>
                <w:sz w:val="18"/>
                <w:szCs w:val="18"/>
              </w:rPr>
            </w:pPr>
            <w:r>
              <w:rPr>
                <w:rFonts w:ascii="宋体" w:hAnsi="宋体" w:cs="宋体"/>
                <w:color w:val="000000"/>
                <w:kern w:val="0"/>
                <w:sz w:val="18"/>
                <w:szCs w:val="18"/>
              </w:rPr>
              <w:t>50%</w:t>
            </w:r>
          </w:p>
        </w:tc>
        <w:tc>
          <w:tcPr>
            <w:tcW w:w="2410" w:type="dxa"/>
            <w:vMerge w:val="restart"/>
            <w:tcBorders>
              <w:top w:val="nil"/>
              <w:left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通过对受评主体最近一年度总资产规模的统计，评估受评主体的总体实力。</w:t>
            </w:r>
          </w:p>
        </w:tc>
        <w:tc>
          <w:tcPr>
            <w:tcW w:w="1984" w:type="dxa"/>
            <w:tcBorders>
              <w:top w:val="nil"/>
              <w:left w:val="nil"/>
              <w:bottom w:val="single" w:color="auto" w:sz="4" w:space="0"/>
              <w:right w:val="single" w:color="auto" w:sz="4" w:space="0"/>
            </w:tcBorders>
            <w:vAlign w:val="center"/>
          </w:tcPr>
          <w:p>
            <w:pPr>
              <w:adjustRightInd w:val="0"/>
              <w:snapToGrid w:val="0"/>
              <w:rPr>
                <w:rFonts w:ascii="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亿元及其以上</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adjustRightInd w:val="0"/>
              <w:snapToGrid w:val="0"/>
              <w:rPr>
                <w:rFonts w:ascii="宋体"/>
                <w:color w:val="000000"/>
                <w:sz w:val="18"/>
                <w:szCs w:val="18"/>
              </w:rPr>
            </w:pPr>
            <w:r>
              <w:rPr>
                <w:rFonts w:ascii="宋体" w:hAnsi="宋体" w:cs="宋体"/>
                <w:color w:val="000000"/>
                <w:sz w:val="18"/>
                <w:szCs w:val="18"/>
              </w:rPr>
              <w:t>5000</w:t>
            </w:r>
            <w:r>
              <w:rPr>
                <w:rFonts w:hint="eastAsia" w:ascii="宋体" w:hAnsi="宋体" w:cs="宋体"/>
                <w:color w:val="000000"/>
                <w:sz w:val="18"/>
                <w:szCs w:val="18"/>
              </w:rPr>
              <w:t>万元～</w:t>
            </w:r>
            <w:r>
              <w:rPr>
                <w:rFonts w:ascii="宋体" w:hAnsi="宋体" w:cs="宋体"/>
                <w:color w:val="000000"/>
                <w:sz w:val="18"/>
                <w:szCs w:val="18"/>
              </w:rPr>
              <w:t>1</w:t>
            </w:r>
            <w:r>
              <w:rPr>
                <w:rFonts w:hint="eastAsia" w:ascii="宋体" w:hAnsi="宋体" w:cs="宋体"/>
                <w:color w:val="000000"/>
                <w:sz w:val="18"/>
                <w:szCs w:val="18"/>
              </w:rPr>
              <w:t>亿元</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adjustRightInd w:val="0"/>
              <w:snapToGrid w:val="0"/>
              <w:rPr>
                <w:rFonts w:ascii="宋体"/>
                <w:color w:val="000000"/>
                <w:sz w:val="18"/>
                <w:szCs w:val="18"/>
              </w:rPr>
            </w:pPr>
            <w:r>
              <w:rPr>
                <w:rFonts w:ascii="宋体" w:hAnsi="宋体" w:cs="宋体"/>
                <w:color w:val="000000"/>
                <w:sz w:val="18"/>
                <w:szCs w:val="18"/>
              </w:rPr>
              <w:t>3000</w:t>
            </w:r>
            <w:r>
              <w:rPr>
                <w:rFonts w:hint="eastAsia" w:ascii="宋体" w:hAnsi="宋体" w:cs="宋体"/>
                <w:color w:val="000000"/>
                <w:sz w:val="18"/>
                <w:szCs w:val="18"/>
              </w:rPr>
              <w:t>万元～</w:t>
            </w:r>
            <w:r>
              <w:rPr>
                <w:rFonts w:ascii="宋体" w:hAnsi="宋体" w:cs="宋体"/>
                <w:color w:val="000000"/>
                <w:sz w:val="18"/>
                <w:szCs w:val="18"/>
              </w:rPr>
              <w:t>5000</w:t>
            </w:r>
            <w:r>
              <w:rPr>
                <w:rFonts w:hint="eastAsia" w:ascii="宋体" w:hAnsi="宋体" w:cs="宋体"/>
                <w:color w:val="000000"/>
                <w:sz w:val="18"/>
                <w:szCs w:val="18"/>
              </w:rPr>
              <w:t>万元</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adjustRightInd w:val="0"/>
              <w:snapToGrid w:val="0"/>
              <w:rPr>
                <w:rFonts w:ascii="宋体"/>
                <w:color w:val="000000"/>
                <w:sz w:val="18"/>
                <w:szCs w:val="18"/>
              </w:rPr>
            </w:pPr>
            <w:r>
              <w:rPr>
                <w:rFonts w:ascii="宋体" w:hAnsi="宋体" w:cs="宋体"/>
                <w:color w:val="000000"/>
                <w:sz w:val="18"/>
                <w:szCs w:val="18"/>
              </w:rPr>
              <w:t>1000</w:t>
            </w:r>
            <w:r>
              <w:rPr>
                <w:rFonts w:hint="eastAsia" w:ascii="宋体" w:hAnsi="宋体" w:cs="宋体"/>
                <w:color w:val="000000"/>
                <w:sz w:val="18"/>
                <w:szCs w:val="18"/>
              </w:rPr>
              <w:t>万元～</w:t>
            </w:r>
            <w:r>
              <w:rPr>
                <w:rFonts w:ascii="宋体" w:hAnsi="宋体" w:cs="宋体"/>
                <w:color w:val="000000"/>
                <w:sz w:val="18"/>
                <w:szCs w:val="18"/>
              </w:rPr>
              <w:t>3000</w:t>
            </w:r>
            <w:r>
              <w:rPr>
                <w:rFonts w:hint="eastAsia" w:ascii="宋体" w:hAnsi="宋体" w:cs="宋体"/>
                <w:color w:val="000000"/>
                <w:sz w:val="18"/>
                <w:szCs w:val="18"/>
              </w:rPr>
              <w:t>万元</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adjustRightInd w:val="0"/>
              <w:snapToGrid w:val="0"/>
              <w:rPr>
                <w:rFonts w:ascii="宋体"/>
                <w:color w:val="000000"/>
                <w:sz w:val="18"/>
                <w:szCs w:val="18"/>
              </w:rPr>
            </w:pPr>
            <w:r>
              <w:rPr>
                <w:rFonts w:ascii="宋体" w:hAnsi="宋体" w:cs="宋体"/>
                <w:color w:val="000000"/>
                <w:sz w:val="18"/>
                <w:szCs w:val="18"/>
              </w:rPr>
              <w:t>500</w:t>
            </w:r>
            <w:r>
              <w:rPr>
                <w:rFonts w:hint="eastAsia" w:ascii="宋体" w:hAnsi="宋体" w:cs="宋体"/>
                <w:color w:val="000000"/>
                <w:sz w:val="18"/>
                <w:szCs w:val="18"/>
              </w:rPr>
              <w:t>万元～</w:t>
            </w:r>
            <w:r>
              <w:rPr>
                <w:rFonts w:ascii="宋体" w:hAnsi="宋体" w:cs="宋体"/>
                <w:color w:val="000000"/>
                <w:sz w:val="18"/>
                <w:szCs w:val="18"/>
              </w:rPr>
              <w:t>1000</w:t>
            </w:r>
            <w:r>
              <w:rPr>
                <w:rFonts w:hint="eastAsia" w:ascii="宋体" w:hAnsi="宋体" w:cs="宋体"/>
                <w:color w:val="000000"/>
                <w:sz w:val="18"/>
                <w:szCs w:val="18"/>
              </w:rPr>
              <w:t>万元</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adjustRightInd w:val="0"/>
              <w:snapToGrid w:val="0"/>
              <w:rPr>
                <w:rFonts w:ascii="宋体"/>
                <w:color w:val="000000"/>
                <w:sz w:val="18"/>
                <w:szCs w:val="18"/>
              </w:rPr>
            </w:pPr>
            <w:r>
              <w:rPr>
                <w:rFonts w:hint="eastAsia" w:ascii="宋体" w:hAnsi="宋体" w:cs="宋体"/>
                <w:color w:val="000000"/>
                <w:sz w:val="18"/>
                <w:szCs w:val="18"/>
              </w:rPr>
              <w:t>低于</w:t>
            </w:r>
            <w:r>
              <w:rPr>
                <w:rFonts w:ascii="宋体" w:hAnsi="宋体" w:cs="宋体"/>
                <w:color w:val="000000"/>
                <w:sz w:val="18"/>
                <w:szCs w:val="18"/>
              </w:rPr>
              <w:t>500</w:t>
            </w:r>
            <w:r>
              <w:rPr>
                <w:rFonts w:hint="eastAsia" w:ascii="宋体" w:hAnsi="宋体" w:cs="宋体"/>
                <w:color w:val="000000"/>
                <w:sz w:val="18"/>
                <w:szCs w:val="18"/>
              </w:rPr>
              <w:t>万元</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净资产</w:t>
            </w:r>
          </w:p>
          <w:p>
            <w:pPr>
              <w:widowControl/>
              <w:jc w:val="center"/>
              <w:rPr>
                <w:rFonts w:ascii="宋体"/>
                <w:color w:val="000000"/>
                <w:kern w:val="0"/>
                <w:sz w:val="18"/>
                <w:szCs w:val="18"/>
              </w:rPr>
            </w:pPr>
            <w:r>
              <w:rPr>
                <w:rFonts w:hint="eastAsia" w:ascii="宋体" w:hAnsi="宋体" w:cs="宋体"/>
                <w:color w:val="000000"/>
                <w:kern w:val="0"/>
                <w:sz w:val="18"/>
                <w:szCs w:val="18"/>
              </w:rPr>
              <w:t>比例</w:t>
            </w:r>
          </w:p>
        </w:tc>
        <w:tc>
          <w:tcPr>
            <w:tcW w:w="709"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30%</w:t>
            </w:r>
          </w:p>
        </w:tc>
        <w:tc>
          <w:tcPr>
            <w:tcW w:w="2410" w:type="dxa"/>
            <w:vMerge w:val="restart"/>
            <w:tcBorders>
              <w:top w:val="nil"/>
              <w:left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通过对受评主体最近一年度净资产占总资产的比例统计，评估受评主体可支配、可动员的资源能力。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40</w:t>
            </w:r>
          </w:p>
        </w:tc>
        <w:tc>
          <w:tcPr>
            <w:tcW w:w="709" w:type="dxa"/>
            <w:tcBorders>
              <w:top w:val="nil"/>
              <w:left w:val="nil"/>
              <w:bottom w:val="single" w:color="auto" w:sz="4" w:space="0"/>
              <w:right w:val="single" w:color="auto" w:sz="4" w:space="0"/>
            </w:tcBorders>
            <w:vAlign w:val="center"/>
          </w:tcPr>
          <w:p>
            <w:pPr>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[35%</w:t>
            </w:r>
            <w:r>
              <w:rPr>
                <w:rFonts w:hint="eastAsia" w:ascii="宋体" w:hAnsi="宋体" w:cs="宋体"/>
                <w:color w:val="000000"/>
                <w:kern w:val="0"/>
                <w:sz w:val="18"/>
                <w:szCs w:val="18"/>
              </w:rPr>
              <w:t>，</w:t>
            </w:r>
            <w:r>
              <w:rPr>
                <w:rFonts w:ascii="宋体" w:hAnsi="宋体" w:cs="宋体"/>
                <w:color w:val="000000"/>
                <w:kern w:val="0"/>
                <w:sz w:val="18"/>
                <w:szCs w:val="18"/>
              </w:rPr>
              <w:t>40%)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w:t>
            </w:r>
            <w:r>
              <w:rPr>
                <w:rFonts w:ascii="宋体" w:hAnsi="宋体" w:cs="宋体"/>
                <w:color w:val="000000"/>
                <w:kern w:val="0"/>
                <w:sz w:val="18"/>
                <w:szCs w:val="18"/>
              </w:rPr>
              <w:t>35%)</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r>
              <w:rPr>
                <w:rFonts w:ascii="宋体" w:hAnsi="宋体" w:cs="宋体"/>
                <w:color w:val="000000"/>
                <w:kern w:val="0"/>
                <w:sz w:val="18"/>
                <w:szCs w:val="18"/>
              </w:rPr>
              <w:t>30%)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r>
              <w:rPr>
                <w:rFonts w:ascii="宋体" w:hAnsi="宋体" w:cs="宋体"/>
                <w:color w:val="000000"/>
                <w:kern w:val="0"/>
                <w:sz w:val="18"/>
                <w:szCs w:val="18"/>
              </w:rPr>
              <w:t>15%)</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w:t>
            </w:r>
            <w:r>
              <w:rPr>
                <w:rFonts w:ascii="宋体" w:hAnsi="宋体" w:cs="宋体"/>
                <w:color w:val="000000"/>
                <w:kern w:val="0"/>
                <w:sz w:val="18"/>
                <w:szCs w:val="18"/>
              </w:rPr>
              <w:t>10)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营业收入增长率</w:t>
            </w:r>
          </w:p>
        </w:tc>
        <w:tc>
          <w:tcPr>
            <w:tcW w:w="709"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20%</w:t>
            </w:r>
          </w:p>
        </w:tc>
        <w:tc>
          <w:tcPr>
            <w:tcW w:w="2410" w:type="dxa"/>
            <w:vMerge w:val="restart"/>
            <w:tcBorders>
              <w:top w:val="nil"/>
              <w:left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通过对受评主体最近一年度营业收入增长率指标的统计，评估受评主体资本积累的能力和发展的潜力。</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20%</w:t>
            </w:r>
          </w:p>
        </w:tc>
        <w:tc>
          <w:tcPr>
            <w:tcW w:w="70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r>
              <w:rPr>
                <w:rFonts w:ascii="宋体" w:hAnsi="宋体" w:cs="宋体"/>
                <w:color w:val="000000"/>
                <w:kern w:val="0"/>
                <w:sz w:val="18"/>
                <w:szCs w:val="18"/>
              </w:rPr>
              <w:t>20%)</w:t>
            </w:r>
          </w:p>
        </w:tc>
        <w:tc>
          <w:tcPr>
            <w:tcW w:w="70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r>
              <w:rPr>
                <w:rFonts w:ascii="宋体" w:hAnsi="宋体" w:cs="宋体"/>
                <w:color w:val="000000"/>
                <w:kern w:val="0"/>
                <w:sz w:val="18"/>
                <w:szCs w:val="18"/>
              </w:rPr>
              <w:t xml:space="preserve">15%) </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w:t>
            </w:r>
            <w:r>
              <w:rPr>
                <w:rFonts w:ascii="宋体" w:hAnsi="宋体" w:cs="宋体"/>
                <w:color w:val="000000"/>
                <w:kern w:val="0"/>
                <w:sz w:val="18"/>
                <w:szCs w:val="18"/>
              </w:rPr>
              <w:t>10%)</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[0</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w:t>
            </w:r>
            <w:r>
              <w:rPr>
                <w:rFonts w:ascii="宋体" w:cs="宋体"/>
                <w:color w:val="000000"/>
                <w:kern w:val="0"/>
                <w:sz w:val="18"/>
                <w:szCs w:val="18"/>
              </w:rPr>
              <w:t>0</w:t>
            </w:r>
          </w:p>
        </w:tc>
        <w:tc>
          <w:tcPr>
            <w:tcW w:w="70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经营年限及重要</w:t>
            </w:r>
          </w:p>
          <w:p>
            <w:pPr>
              <w:widowControl/>
              <w:jc w:val="center"/>
              <w:rPr>
                <w:rFonts w:ascii="宋体"/>
                <w:color w:val="000000"/>
                <w:kern w:val="0"/>
                <w:sz w:val="18"/>
                <w:szCs w:val="18"/>
              </w:rPr>
            </w:pPr>
            <w:r>
              <w:rPr>
                <w:rFonts w:hint="eastAsia" w:ascii="宋体" w:hAnsi="宋体" w:cs="宋体"/>
                <w:color w:val="000000"/>
                <w:kern w:val="0"/>
                <w:sz w:val="18"/>
                <w:szCs w:val="18"/>
              </w:rPr>
              <w:t>业绩</w:t>
            </w:r>
          </w:p>
        </w:tc>
        <w:tc>
          <w:tcPr>
            <w:tcW w:w="709"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15%</w:t>
            </w:r>
          </w:p>
        </w:tc>
        <w:tc>
          <w:tcPr>
            <w:tcW w:w="992"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经营</w:t>
            </w:r>
          </w:p>
          <w:p>
            <w:pPr>
              <w:widowControl/>
              <w:jc w:val="center"/>
              <w:rPr>
                <w:rFonts w:ascii="宋体"/>
                <w:color w:val="000000"/>
                <w:kern w:val="0"/>
                <w:sz w:val="18"/>
                <w:szCs w:val="18"/>
              </w:rPr>
            </w:pPr>
            <w:r>
              <w:rPr>
                <w:rFonts w:hint="eastAsia" w:ascii="宋体" w:hAnsi="宋体" w:cs="宋体"/>
                <w:color w:val="000000"/>
                <w:kern w:val="0"/>
                <w:sz w:val="18"/>
                <w:szCs w:val="18"/>
              </w:rPr>
              <w:t>年限</w:t>
            </w:r>
          </w:p>
        </w:tc>
        <w:tc>
          <w:tcPr>
            <w:tcW w:w="709"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50%</w:t>
            </w:r>
          </w:p>
        </w:tc>
        <w:tc>
          <w:tcPr>
            <w:tcW w:w="2410" w:type="dxa"/>
            <w:vMerge w:val="restart"/>
            <w:tcBorders>
              <w:top w:val="nil"/>
              <w:left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通过对受评主体存续时间的考核，评估受评主体对市场的掌控能力和行业经验的丰富性。</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年以上</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15~20</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10~15</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5~10</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年以内</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成立不满</w:t>
            </w:r>
            <w:r>
              <w:rPr>
                <w:rFonts w:ascii="宋体" w:hAnsi="宋体" w:cs="宋体"/>
                <w:color w:val="000000"/>
                <w:kern w:val="0"/>
                <w:sz w:val="18"/>
                <w:szCs w:val="18"/>
              </w:rPr>
              <w:t>1</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承建重点工程的</w:t>
            </w:r>
          </w:p>
          <w:p>
            <w:pPr>
              <w:widowControl/>
              <w:jc w:val="center"/>
              <w:rPr>
                <w:rFonts w:ascii="宋体"/>
                <w:color w:val="000000"/>
                <w:kern w:val="0"/>
                <w:sz w:val="18"/>
                <w:szCs w:val="18"/>
              </w:rPr>
            </w:pPr>
            <w:r>
              <w:rPr>
                <w:rFonts w:hint="eastAsia" w:ascii="宋体" w:hAnsi="宋体" w:cs="宋体"/>
                <w:color w:val="000000"/>
                <w:kern w:val="0"/>
                <w:sz w:val="18"/>
                <w:szCs w:val="18"/>
              </w:rPr>
              <w:t>数量</w:t>
            </w:r>
          </w:p>
        </w:tc>
        <w:tc>
          <w:tcPr>
            <w:tcW w:w="709" w:type="dxa"/>
            <w:vMerge w:val="restart"/>
            <w:tcBorders>
              <w:left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50%</w:t>
            </w:r>
          </w:p>
        </w:tc>
        <w:tc>
          <w:tcPr>
            <w:tcW w:w="2410" w:type="dxa"/>
            <w:vMerge w:val="restart"/>
            <w:tcBorders>
              <w:left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通过对受评主体近三年承建重点工程（国家、省市）数量的统计，评估受评主体的市场影响力及品牌价值。</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个以上</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[20,30)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[10,20)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[5,10)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低于</w:t>
            </w:r>
            <w:r>
              <w:rPr>
                <w:rFonts w:ascii="宋体" w:hAnsi="宋体" w:cs="宋体"/>
                <w:color w:val="000000"/>
                <w:kern w:val="0"/>
                <w:sz w:val="18"/>
                <w:szCs w:val="18"/>
              </w:rPr>
              <w:t>5</w:t>
            </w:r>
            <w:r>
              <w:rPr>
                <w:rFonts w:hint="eastAsia" w:ascii="宋体" w:hAnsi="宋体" w:cs="宋体"/>
                <w:color w:val="000000"/>
                <w:kern w:val="0"/>
                <w:sz w:val="18"/>
                <w:szCs w:val="18"/>
              </w:rPr>
              <w:t>个</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无</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57"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法人、高管、人力</w:t>
            </w:r>
          </w:p>
          <w:p>
            <w:pPr>
              <w:widowControl/>
              <w:jc w:val="center"/>
              <w:rPr>
                <w:rFonts w:ascii="宋体"/>
                <w:color w:val="000000"/>
                <w:kern w:val="0"/>
                <w:sz w:val="18"/>
                <w:szCs w:val="18"/>
              </w:rPr>
            </w:pPr>
            <w:r>
              <w:rPr>
                <w:rFonts w:hint="eastAsia" w:ascii="宋体" w:hAnsi="宋体" w:cs="宋体"/>
                <w:color w:val="000000"/>
                <w:kern w:val="0"/>
                <w:sz w:val="18"/>
                <w:szCs w:val="18"/>
              </w:rPr>
              <w:t>资源</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30%</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法人</w:t>
            </w:r>
          </w:p>
          <w:p>
            <w:pPr>
              <w:widowControl/>
              <w:jc w:val="center"/>
              <w:rPr>
                <w:rFonts w:ascii="宋体"/>
                <w:color w:val="000000"/>
                <w:kern w:val="0"/>
                <w:sz w:val="18"/>
                <w:szCs w:val="18"/>
              </w:rPr>
            </w:pPr>
            <w:r>
              <w:rPr>
                <w:rFonts w:hint="eastAsia" w:ascii="宋体" w:hAnsi="宋体" w:cs="宋体"/>
                <w:color w:val="000000"/>
                <w:kern w:val="0"/>
                <w:sz w:val="18"/>
                <w:szCs w:val="18"/>
              </w:rPr>
              <w:t>素质</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20%</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受评主体法定代表人是否有违法违纪行为（司法或行政执法部门公示为准）。</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有</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57"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无</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高管</w:t>
            </w:r>
          </w:p>
          <w:p>
            <w:pPr>
              <w:widowControl/>
              <w:jc w:val="center"/>
              <w:rPr>
                <w:rFonts w:ascii="宋体"/>
                <w:color w:val="000000"/>
                <w:kern w:val="0"/>
                <w:sz w:val="18"/>
                <w:szCs w:val="18"/>
              </w:rPr>
            </w:pPr>
            <w:r>
              <w:rPr>
                <w:rFonts w:hint="eastAsia" w:ascii="宋体" w:hAnsi="宋体" w:cs="宋体"/>
                <w:color w:val="000000"/>
                <w:kern w:val="0"/>
                <w:sz w:val="18"/>
                <w:szCs w:val="18"/>
              </w:rPr>
              <w:t>素质</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30%</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通过对受评主体高层管理人员平均从业年限统计，评估高管的行业管理经验。</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年以上</w:t>
            </w:r>
            <w:r>
              <w:rPr>
                <w:rFonts w:ascii="宋体" w:hAnsi="宋体" w:cs="宋体"/>
                <w:color w:val="000000"/>
                <w:kern w:val="0"/>
                <w:sz w:val="18"/>
                <w:szCs w:val="18"/>
              </w:rPr>
              <w:t xml:space="preserve"> </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15~20</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10~15</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5~10</w:t>
            </w:r>
            <w:r>
              <w:rPr>
                <w:rFonts w:hint="eastAsia" w:ascii="宋体" w:hAnsi="宋体" w:cs="宋体"/>
                <w:color w:val="000000"/>
                <w:kern w:val="0"/>
                <w:sz w:val="18"/>
                <w:szCs w:val="18"/>
              </w:rPr>
              <w:t>年</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年以内</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专业技术职称及专业注册人员比例</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50%</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通过对受评主体注册建造师、专业工程师等专业从业人员占员工总数比例的统计，评估受评主体的技术实力。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25%</w:t>
            </w:r>
            <w:r>
              <w:rPr>
                <w:rFonts w:hint="eastAsia" w:ascii="宋体" w:hAnsi="宋体" w:cs="宋体"/>
                <w:color w:val="000000"/>
                <w:kern w:val="0"/>
                <w:sz w:val="18"/>
                <w:szCs w:val="18"/>
              </w:rPr>
              <w:t>以上</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到</w:t>
            </w:r>
            <w:r>
              <w:rPr>
                <w:rFonts w:ascii="宋体" w:hAnsi="宋体" w:cs="宋体"/>
                <w:color w:val="000000"/>
                <w:kern w:val="0"/>
                <w:sz w:val="18"/>
                <w:szCs w:val="18"/>
              </w:rPr>
              <w:t>25%</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到</w:t>
            </w:r>
            <w:r>
              <w:rPr>
                <w:rFonts w:ascii="宋体" w:hAnsi="宋体" w:cs="宋体"/>
                <w:color w:val="000000"/>
                <w:kern w:val="0"/>
                <w:sz w:val="18"/>
                <w:szCs w:val="18"/>
              </w:rPr>
              <w:t>20%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到</w:t>
            </w:r>
            <w:r>
              <w:rPr>
                <w:rFonts w:ascii="宋体" w:hAnsi="宋体" w:cs="宋体"/>
                <w:color w:val="000000"/>
                <w:kern w:val="0"/>
                <w:sz w:val="18"/>
                <w:szCs w:val="18"/>
              </w:rPr>
              <w:t>15%</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低于</w:t>
            </w:r>
            <w:r>
              <w:rPr>
                <w:rFonts w:ascii="宋体" w:hAnsi="宋体" w:cs="宋体"/>
                <w:color w:val="000000"/>
                <w:kern w:val="0"/>
                <w:sz w:val="18"/>
                <w:szCs w:val="18"/>
              </w:rPr>
              <w:t>10%</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股东</w:t>
            </w:r>
          </w:p>
          <w:p>
            <w:pPr>
              <w:widowControl/>
              <w:jc w:val="center"/>
              <w:rPr>
                <w:rFonts w:ascii="宋体"/>
                <w:color w:val="000000"/>
                <w:kern w:val="0"/>
                <w:sz w:val="18"/>
                <w:szCs w:val="18"/>
              </w:rPr>
            </w:pPr>
            <w:r>
              <w:rPr>
                <w:rFonts w:hint="eastAsia" w:ascii="宋体" w:hAnsi="宋体" w:cs="宋体"/>
                <w:color w:val="000000"/>
                <w:kern w:val="0"/>
                <w:sz w:val="18"/>
                <w:szCs w:val="18"/>
              </w:rPr>
              <w:t>背景</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20%</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通过对受评主体的股东背景考核，评估股东对受评主体可能的支持能力（融资支持或提供担保）。</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大型企业</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中型企业</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346"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小型企业</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79"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微型企业</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自然人</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分支</w:t>
            </w:r>
          </w:p>
          <w:p>
            <w:pPr>
              <w:widowControl/>
              <w:jc w:val="center"/>
              <w:rPr>
                <w:rFonts w:ascii="宋体"/>
                <w:color w:val="000000"/>
                <w:kern w:val="0"/>
                <w:sz w:val="18"/>
                <w:szCs w:val="18"/>
              </w:rPr>
            </w:pPr>
            <w:r>
              <w:rPr>
                <w:rFonts w:hint="eastAsia" w:ascii="宋体" w:hAnsi="宋体" w:cs="宋体"/>
                <w:color w:val="000000"/>
                <w:kern w:val="0"/>
                <w:sz w:val="18"/>
                <w:szCs w:val="18"/>
              </w:rPr>
              <w:t>机构</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10%</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2410" w:type="dxa"/>
            <w:vMerge w:val="restart"/>
            <w:tcBorders>
              <w:top w:val="nil"/>
              <w:left w:val="single" w:color="auto" w:sz="4" w:space="0"/>
              <w:bottom w:val="single" w:color="000000"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通过对受评主体分支机构的分布范围的考核，评估受评主体业务规模、资源调动和入市能力。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全国</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本地区</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本省</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本市</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1025"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无</w:t>
            </w:r>
          </w:p>
        </w:tc>
        <w:tc>
          <w:tcPr>
            <w:tcW w:w="709"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ascii="宋体" w:hAnsi="宋体" w:cs="宋体"/>
                <w:color w:val="000000"/>
                <w:kern w:val="0"/>
                <w:sz w:val="18"/>
                <w:szCs w:val="18"/>
              </w:rPr>
              <w:t>20</w:t>
            </w:r>
          </w:p>
        </w:tc>
      </w:tr>
    </w:tbl>
    <w:p>
      <w:pPr>
        <w:spacing w:before="156" w:beforeLines="50"/>
        <w:ind w:left="-2" w:leftChars="-136" w:hanging="284" w:hangingChars="118"/>
        <w:rPr>
          <w:rFonts w:ascii="宋体"/>
          <w:b/>
          <w:bCs/>
          <w:color w:val="000000"/>
          <w:sz w:val="24"/>
          <w:szCs w:val="24"/>
        </w:rPr>
      </w:pPr>
      <w:r>
        <w:rPr>
          <w:rFonts w:hint="eastAsia" w:ascii="宋体" w:hAnsi="宋体" w:cs="宋体"/>
          <w:b/>
          <w:bCs/>
          <w:color w:val="000000"/>
          <w:sz w:val="24"/>
          <w:szCs w:val="24"/>
        </w:rPr>
        <w:t>二、受评主体资质</w:t>
      </w:r>
    </w:p>
    <w:p>
      <w:pPr>
        <w:spacing w:line="360" w:lineRule="auto"/>
        <w:ind w:left="-850" w:leftChars="-405" w:right="-710" w:rightChars="-338" w:firstLine="525" w:firstLineChars="250"/>
        <w:rPr>
          <w:rFonts w:ascii="宋体"/>
          <w:color w:val="000000"/>
        </w:rPr>
      </w:pPr>
      <w:r>
        <w:rPr>
          <w:rFonts w:hint="eastAsia" w:ascii="宋体" w:hAnsi="宋体" w:cs="宋体"/>
          <w:color w:val="000000"/>
        </w:rPr>
        <w:t>根据中国建筑装饰行业企业管理的特点，审核受评主体施工总承包资质和专业承包资质两项。权重为</w:t>
      </w:r>
      <w:r>
        <w:rPr>
          <w:rFonts w:ascii="宋体" w:hAnsi="宋体" w:cs="宋体"/>
          <w:color w:val="000000"/>
        </w:rPr>
        <w:t>5%</w:t>
      </w:r>
      <w:r>
        <w:rPr>
          <w:rFonts w:hint="eastAsia" w:ascii="宋体" w:hAnsi="宋体" w:cs="宋体"/>
          <w:color w:val="000000"/>
        </w:rPr>
        <w:t>。</w:t>
      </w:r>
    </w:p>
    <w:tbl>
      <w:tblPr>
        <w:tblStyle w:val="17"/>
        <w:tblW w:w="10207" w:type="dxa"/>
        <w:jc w:val="center"/>
        <w:tblLayout w:type="fixed"/>
        <w:tblCellMar>
          <w:top w:w="0" w:type="dxa"/>
          <w:left w:w="108" w:type="dxa"/>
          <w:bottom w:w="0" w:type="dxa"/>
          <w:right w:w="108" w:type="dxa"/>
        </w:tblCellMar>
      </w:tblPr>
      <w:tblGrid>
        <w:gridCol w:w="1135"/>
        <w:gridCol w:w="709"/>
        <w:gridCol w:w="1134"/>
        <w:gridCol w:w="708"/>
        <w:gridCol w:w="3828"/>
        <w:gridCol w:w="1984"/>
        <w:gridCol w:w="709"/>
      </w:tblGrid>
      <w:tr>
        <w:tblPrEx>
          <w:tblCellMar>
            <w:top w:w="0" w:type="dxa"/>
            <w:left w:w="108" w:type="dxa"/>
            <w:bottom w:w="0" w:type="dxa"/>
            <w:right w:w="108" w:type="dxa"/>
          </w:tblCellMar>
        </w:tblPrEx>
        <w:trPr>
          <w:trHeight w:val="20" w:hRule="atLeast"/>
          <w:jc w:val="center"/>
        </w:trPr>
        <w:tc>
          <w:tcPr>
            <w:tcW w:w="1844" w:type="dxa"/>
            <w:gridSpan w:val="2"/>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一级指标</w:t>
            </w:r>
          </w:p>
        </w:tc>
        <w:tc>
          <w:tcPr>
            <w:tcW w:w="1842" w:type="dxa"/>
            <w:gridSpan w:val="2"/>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二级指标</w:t>
            </w:r>
          </w:p>
        </w:tc>
        <w:tc>
          <w:tcPr>
            <w:tcW w:w="3828" w:type="dxa"/>
            <w:vMerge w:val="restart"/>
            <w:tcBorders>
              <w:top w:val="single" w:color="auto" w:sz="4" w:space="0"/>
              <w:left w:val="nil"/>
              <w:right w:val="single" w:color="auto" w:sz="4" w:space="0"/>
            </w:tcBorders>
            <w:shd w:val="clear" w:color="auto" w:fill="EEECE1"/>
            <w:vAlign w:val="center"/>
          </w:tcPr>
          <w:p>
            <w:pPr>
              <w:widowControl/>
              <w:jc w:val="center"/>
              <w:rPr>
                <w:rFonts w:ascii="宋体"/>
                <w:color w:val="000000"/>
                <w:sz w:val="18"/>
                <w:szCs w:val="18"/>
              </w:rPr>
            </w:pPr>
            <w:r>
              <w:rPr>
                <w:rFonts w:hint="eastAsia" w:ascii="宋体" w:hAnsi="宋体" w:cs="宋体"/>
                <w:b/>
                <w:bCs/>
                <w:color w:val="000000"/>
                <w:kern w:val="0"/>
                <w:sz w:val="18"/>
                <w:szCs w:val="18"/>
              </w:rPr>
              <w:t>指标说明</w:t>
            </w:r>
          </w:p>
        </w:tc>
        <w:tc>
          <w:tcPr>
            <w:tcW w:w="2693" w:type="dxa"/>
            <w:gridSpan w:val="2"/>
            <w:tcBorders>
              <w:top w:val="single" w:color="auto" w:sz="4" w:space="0"/>
              <w:left w:val="nil"/>
              <w:bottom w:val="single" w:color="auto" w:sz="4" w:space="0"/>
              <w:right w:val="single" w:color="auto" w:sz="4" w:space="0"/>
            </w:tcBorders>
            <w:shd w:val="clear" w:color="auto" w:fill="EEECE1"/>
            <w:vAlign w:val="center"/>
          </w:tcPr>
          <w:p>
            <w:pPr>
              <w:widowControl/>
              <w:jc w:val="center"/>
              <w:rPr>
                <w:rFonts w:ascii="宋体"/>
                <w:color w:val="000000"/>
                <w:kern w:val="0"/>
                <w:sz w:val="18"/>
                <w:szCs w:val="18"/>
              </w:rPr>
            </w:pPr>
            <w:r>
              <w:rPr>
                <w:rFonts w:hint="eastAsia" w:ascii="宋体" w:hAnsi="宋体" w:cs="宋体"/>
                <w:b/>
                <w:bCs/>
                <w:color w:val="000000"/>
                <w:kern w:val="0"/>
                <w:sz w:val="18"/>
                <w:szCs w:val="18"/>
              </w:rPr>
              <w:t>评价标准和得分</w:t>
            </w:r>
          </w:p>
        </w:tc>
      </w:tr>
      <w:tr>
        <w:tblPrEx>
          <w:tblCellMar>
            <w:top w:w="0" w:type="dxa"/>
            <w:left w:w="108" w:type="dxa"/>
            <w:bottom w:w="0" w:type="dxa"/>
            <w:right w:w="108" w:type="dxa"/>
          </w:tblCellMar>
        </w:tblPrEx>
        <w:trPr>
          <w:trHeight w:val="2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1134"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3828" w:type="dxa"/>
            <w:vMerge w:val="continue"/>
            <w:tcBorders>
              <w:left w:val="nil"/>
              <w:bottom w:val="single" w:color="auto" w:sz="4" w:space="0"/>
              <w:right w:val="single" w:color="auto" w:sz="4" w:space="0"/>
            </w:tcBorders>
            <w:shd w:val="clear" w:color="auto" w:fill="EEECE1"/>
            <w:vAlign w:val="center"/>
          </w:tcPr>
          <w:p>
            <w:pPr>
              <w:widowControl/>
              <w:jc w:val="center"/>
              <w:rPr>
                <w:rFonts w:ascii="宋体"/>
                <w:color w:val="000000"/>
                <w:sz w:val="18"/>
                <w:szCs w:val="18"/>
              </w:rPr>
            </w:pPr>
          </w:p>
        </w:tc>
        <w:tc>
          <w:tcPr>
            <w:tcW w:w="1984" w:type="dxa"/>
            <w:tcBorders>
              <w:top w:val="single" w:color="auto" w:sz="4" w:space="0"/>
              <w:left w:val="nil"/>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标准</w:t>
            </w:r>
          </w:p>
        </w:tc>
        <w:tc>
          <w:tcPr>
            <w:tcW w:w="709" w:type="dxa"/>
            <w:tcBorders>
              <w:top w:val="nil"/>
              <w:left w:val="nil"/>
              <w:bottom w:val="single" w:color="auto" w:sz="4" w:space="0"/>
              <w:right w:val="single" w:color="auto" w:sz="4" w:space="0"/>
            </w:tcBorders>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得分</w:t>
            </w:r>
          </w:p>
        </w:tc>
      </w:tr>
      <w:tr>
        <w:tblPrEx>
          <w:tblCellMar>
            <w:top w:w="0" w:type="dxa"/>
            <w:left w:w="108" w:type="dxa"/>
            <w:bottom w:w="0" w:type="dxa"/>
            <w:right w:w="108" w:type="dxa"/>
          </w:tblCellMar>
        </w:tblPrEx>
        <w:trPr>
          <w:trHeight w:val="20"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企业资质</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5%</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施工总承包资质</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3828" w:type="dxa"/>
            <w:vMerge w:val="restart"/>
            <w:tcBorders>
              <w:top w:val="single" w:color="auto" w:sz="4" w:space="0"/>
              <w:left w:val="nil"/>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通过对受评主体资质的考核，评估其承接工程项目的能力，同时具有总承包资质和专业承包资质的投标人以两项中的高分计算。</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特级资质</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828" w:type="dxa"/>
            <w:vMerge w:val="continue"/>
            <w:tcBorders>
              <w:left w:val="nil"/>
              <w:right w:val="single" w:color="auto" w:sz="4" w:space="0"/>
            </w:tcBorders>
            <w:vAlign w:val="center"/>
          </w:tcPr>
          <w:p>
            <w:pPr>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一级资质</w:t>
            </w:r>
          </w:p>
        </w:tc>
        <w:tc>
          <w:tcPr>
            <w:tcW w:w="709"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90</w:t>
            </w:r>
          </w:p>
        </w:tc>
      </w:tr>
      <w:tr>
        <w:tblPrEx>
          <w:tblCellMar>
            <w:top w:w="0" w:type="dxa"/>
            <w:left w:w="108" w:type="dxa"/>
            <w:bottom w:w="0" w:type="dxa"/>
            <w:right w:w="108" w:type="dxa"/>
          </w:tblCellMar>
        </w:tblPrEx>
        <w:trPr>
          <w:trHeight w:val="2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828" w:type="dxa"/>
            <w:vMerge w:val="continue"/>
            <w:tcBorders>
              <w:left w:val="nil"/>
              <w:right w:val="single" w:color="auto" w:sz="4" w:space="0"/>
            </w:tcBorders>
            <w:vAlign w:val="center"/>
          </w:tcPr>
          <w:p>
            <w:pPr>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二级资质</w:t>
            </w:r>
          </w:p>
        </w:tc>
        <w:tc>
          <w:tcPr>
            <w:tcW w:w="709"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3828" w:type="dxa"/>
            <w:vMerge w:val="continue"/>
            <w:tcBorders>
              <w:left w:val="nil"/>
              <w:right w:val="single" w:color="auto" w:sz="4" w:space="0"/>
            </w:tcBorders>
            <w:vAlign w:val="center"/>
          </w:tcPr>
          <w:p>
            <w:pPr>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三级资质</w:t>
            </w:r>
          </w:p>
        </w:tc>
        <w:tc>
          <w:tcPr>
            <w:tcW w:w="709"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70</w:t>
            </w:r>
          </w:p>
        </w:tc>
      </w:tr>
      <w:tr>
        <w:tblPrEx>
          <w:tblCellMar>
            <w:top w:w="0" w:type="dxa"/>
            <w:left w:w="108" w:type="dxa"/>
            <w:bottom w:w="0" w:type="dxa"/>
            <w:right w:w="108" w:type="dxa"/>
          </w:tblCellMar>
        </w:tblPrEx>
        <w:trPr>
          <w:trHeight w:val="2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专业承包</w:t>
            </w:r>
          </w:p>
          <w:p>
            <w:pPr>
              <w:widowControl/>
              <w:jc w:val="center"/>
              <w:rPr>
                <w:rFonts w:ascii="宋体"/>
                <w:color w:val="000000"/>
                <w:kern w:val="0"/>
                <w:sz w:val="18"/>
                <w:szCs w:val="18"/>
              </w:rPr>
            </w:pPr>
            <w:r>
              <w:rPr>
                <w:rFonts w:hint="eastAsia" w:ascii="宋体" w:hAnsi="宋体" w:cs="宋体"/>
                <w:color w:val="000000"/>
                <w:kern w:val="0"/>
                <w:sz w:val="18"/>
                <w:szCs w:val="18"/>
              </w:rPr>
              <w:t>资质</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3828"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一级资质</w:t>
            </w:r>
          </w:p>
        </w:tc>
        <w:tc>
          <w:tcPr>
            <w:tcW w:w="709"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3828" w:type="dxa"/>
            <w:vMerge w:val="continue"/>
            <w:tcBorders>
              <w:left w:val="nil"/>
              <w:right w:val="single" w:color="auto" w:sz="4" w:space="0"/>
            </w:tcBorders>
            <w:vAlign w:val="center"/>
          </w:tcPr>
          <w:p>
            <w:pPr>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二级资质</w:t>
            </w:r>
          </w:p>
        </w:tc>
        <w:tc>
          <w:tcPr>
            <w:tcW w:w="709"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3828" w:type="dxa"/>
            <w:vMerge w:val="continue"/>
            <w:tcBorders>
              <w:left w:val="nil"/>
              <w:bottom w:val="single" w:color="auto" w:sz="4" w:space="0"/>
              <w:right w:val="single" w:color="auto" w:sz="4" w:space="0"/>
            </w:tcBorders>
            <w:vAlign w:val="center"/>
          </w:tcPr>
          <w:p>
            <w:pPr>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三级资质</w:t>
            </w:r>
          </w:p>
        </w:tc>
        <w:tc>
          <w:tcPr>
            <w:tcW w:w="709"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40</w:t>
            </w:r>
          </w:p>
        </w:tc>
      </w:tr>
    </w:tbl>
    <w:p>
      <w:pPr>
        <w:spacing w:before="156" w:beforeLines="50"/>
        <w:ind w:left="-2" w:leftChars="-136" w:hanging="284" w:hangingChars="118"/>
        <w:rPr>
          <w:rFonts w:ascii="宋体"/>
          <w:b/>
          <w:bCs/>
          <w:color w:val="000000"/>
          <w:sz w:val="24"/>
          <w:szCs w:val="24"/>
        </w:rPr>
      </w:pPr>
      <w:r>
        <w:rPr>
          <w:rFonts w:hint="eastAsia" w:ascii="宋体" w:hAnsi="宋体" w:cs="宋体"/>
          <w:b/>
          <w:bCs/>
          <w:color w:val="000000"/>
          <w:sz w:val="24"/>
          <w:szCs w:val="24"/>
        </w:rPr>
        <w:t>三、受评主体经营管理能力</w:t>
      </w:r>
    </w:p>
    <w:p>
      <w:pPr>
        <w:spacing w:line="360" w:lineRule="auto"/>
        <w:ind w:left="-850" w:leftChars="-405" w:right="-710" w:rightChars="-338" w:firstLine="525" w:firstLineChars="250"/>
        <w:rPr>
          <w:rFonts w:ascii="宋体"/>
          <w:color w:val="000000"/>
        </w:rPr>
      </w:pPr>
      <w:r>
        <w:rPr>
          <w:rFonts w:hint="eastAsia" w:ascii="宋体" w:hAnsi="宋体" w:cs="宋体"/>
          <w:color w:val="000000"/>
        </w:rPr>
        <w:t>经营管理水平指标体系由四类指标构成，分别为：制度建设情况、制度执行情况、信息化建设情况和创新能力。权重为</w:t>
      </w:r>
      <w:r>
        <w:rPr>
          <w:rFonts w:ascii="宋体" w:hAnsi="宋体" w:cs="宋体"/>
          <w:color w:val="000000"/>
        </w:rPr>
        <w:t>40%</w:t>
      </w:r>
      <w:r>
        <w:rPr>
          <w:rFonts w:hint="eastAsia" w:ascii="宋体" w:hAnsi="宋体" w:cs="宋体"/>
          <w:color w:val="000000"/>
        </w:rPr>
        <w:t>。</w:t>
      </w:r>
    </w:p>
    <w:tbl>
      <w:tblPr>
        <w:tblStyle w:val="17"/>
        <w:tblW w:w="10207" w:type="dxa"/>
        <w:jc w:val="center"/>
        <w:tblLayout w:type="fixed"/>
        <w:tblCellMar>
          <w:top w:w="0" w:type="dxa"/>
          <w:left w:w="108" w:type="dxa"/>
          <w:bottom w:w="0" w:type="dxa"/>
          <w:right w:w="108" w:type="dxa"/>
        </w:tblCellMar>
      </w:tblPr>
      <w:tblGrid>
        <w:gridCol w:w="993"/>
        <w:gridCol w:w="622"/>
        <w:gridCol w:w="1079"/>
        <w:gridCol w:w="709"/>
        <w:gridCol w:w="992"/>
        <w:gridCol w:w="851"/>
        <w:gridCol w:w="2268"/>
        <w:gridCol w:w="1984"/>
        <w:gridCol w:w="709"/>
      </w:tblGrid>
      <w:tr>
        <w:tblPrEx>
          <w:tblCellMar>
            <w:top w:w="0" w:type="dxa"/>
            <w:left w:w="108" w:type="dxa"/>
            <w:bottom w:w="0" w:type="dxa"/>
            <w:right w:w="108" w:type="dxa"/>
          </w:tblCellMar>
        </w:tblPrEx>
        <w:trPr>
          <w:trHeight w:val="20" w:hRule="atLeast"/>
          <w:jc w:val="center"/>
        </w:trPr>
        <w:tc>
          <w:tcPr>
            <w:tcW w:w="1615" w:type="dxa"/>
            <w:gridSpan w:val="2"/>
            <w:tcBorders>
              <w:top w:val="single" w:color="auto" w:sz="8"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一级指标</w:t>
            </w:r>
          </w:p>
        </w:tc>
        <w:tc>
          <w:tcPr>
            <w:tcW w:w="1788" w:type="dxa"/>
            <w:gridSpan w:val="2"/>
            <w:tcBorders>
              <w:top w:val="single" w:color="auto" w:sz="8" w:space="0"/>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二级指标</w:t>
            </w:r>
          </w:p>
        </w:tc>
        <w:tc>
          <w:tcPr>
            <w:tcW w:w="1843" w:type="dxa"/>
            <w:gridSpan w:val="2"/>
            <w:tcBorders>
              <w:top w:val="single" w:color="auto" w:sz="8" w:space="0"/>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三级指标</w:t>
            </w:r>
          </w:p>
        </w:tc>
        <w:tc>
          <w:tcPr>
            <w:tcW w:w="2268" w:type="dxa"/>
            <w:vMerge w:val="restart"/>
            <w:tcBorders>
              <w:top w:val="single" w:color="auto" w:sz="8"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指标说明</w:t>
            </w:r>
          </w:p>
        </w:tc>
        <w:tc>
          <w:tcPr>
            <w:tcW w:w="2693" w:type="dxa"/>
            <w:gridSpan w:val="2"/>
            <w:vMerge w:val="restart"/>
            <w:tcBorders>
              <w:top w:val="single" w:color="auto" w:sz="8" w:space="0"/>
              <w:left w:val="single" w:color="auto" w:sz="4" w:space="0"/>
              <w:bottom w:val="single" w:color="auto" w:sz="4" w:space="0"/>
              <w:right w:val="single" w:color="000000" w:sz="8"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评价标准、评价方法和得分</w:t>
            </w:r>
          </w:p>
        </w:tc>
      </w:tr>
      <w:tr>
        <w:tblPrEx>
          <w:tblCellMar>
            <w:top w:w="0" w:type="dxa"/>
            <w:left w:w="108" w:type="dxa"/>
            <w:bottom w:w="0" w:type="dxa"/>
            <w:right w:w="108" w:type="dxa"/>
          </w:tblCellMar>
        </w:tblPrEx>
        <w:trPr>
          <w:trHeight w:val="20" w:hRule="atLeast"/>
          <w:jc w:val="center"/>
        </w:trPr>
        <w:tc>
          <w:tcPr>
            <w:tcW w:w="993"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622"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1079"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992"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851"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226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b/>
                <w:bCs/>
                <w:color w:val="000000"/>
                <w:kern w:val="0"/>
                <w:sz w:val="18"/>
                <w:szCs w:val="18"/>
              </w:rPr>
            </w:pPr>
          </w:p>
        </w:tc>
        <w:tc>
          <w:tcPr>
            <w:tcW w:w="2693" w:type="dxa"/>
            <w:gridSpan w:val="2"/>
            <w:vMerge w:val="continue"/>
            <w:tcBorders>
              <w:top w:val="single" w:color="auto" w:sz="8" w:space="0"/>
              <w:left w:val="single" w:color="auto" w:sz="4" w:space="0"/>
              <w:bottom w:val="single" w:color="auto" w:sz="4" w:space="0"/>
              <w:right w:val="single" w:color="000000" w:sz="8" w:space="0"/>
            </w:tcBorders>
            <w:vAlign w:val="center"/>
          </w:tcPr>
          <w:p>
            <w:pPr>
              <w:widowControl/>
              <w:jc w:val="left"/>
              <w:rPr>
                <w:rFonts w:ascii="宋体"/>
                <w:b/>
                <w:bCs/>
                <w:color w:val="000000"/>
                <w:kern w:val="0"/>
                <w:sz w:val="18"/>
                <w:szCs w:val="18"/>
              </w:rPr>
            </w:pPr>
          </w:p>
        </w:tc>
      </w:tr>
      <w:tr>
        <w:tblPrEx>
          <w:tblCellMar>
            <w:top w:w="0" w:type="dxa"/>
            <w:left w:w="108" w:type="dxa"/>
            <w:bottom w:w="0" w:type="dxa"/>
            <w:right w:w="108" w:type="dxa"/>
          </w:tblCellMar>
        </w:tblPrEx>
        <w:trPr>
          <w:trHeight w:val="20" w:hRule="atLeast"/>
          <w:jc w:val="center"/>
        </w:trPr>
        <w:tc>
          <w:tcPr>
            <w:tcW w:w="993"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制度</w:t>
            </w:r>
          </w:p>
          <w:p>
            <w:pPr>
              <w:widowControl/>
              <w:jc w:val="center"/>
              <w:rPr>
                <w:rFonts w:ascii="宋体"/>
                <w:color w:val="000000"/>
                <w:kern w:val="0"/>
                <w:sz w:val="18"/>
                <w:szCs w:val="18"/>
              </w:rPr>
            </w:pPr>
            <w:r>
              <w:rPr>
                <w:rFonts w:hint="eastAsia" w:ascii="宋体" w:hAnsi="宋体" w:cs="宋体"/>
                <w:color w:val="000000"/>
                <w:kern w:val="0"/>
                <w:sz w:val="18"/>
                <w:szCs w:val="18"/>
              </w:rPr>
              <w:t>建设</w:t>
            </w:r>
          </w:p>
        </w:tc>
        <w:tc>
          <w:tcPr>
            <w:tcW w:w="622"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7%</w:t>
            </w:r>
          </w:p>
        </w:tc>
        <w:tc>
          <w:tcPr>
            <w:tcW w:w="107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公司治理结构</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考核受评主体组织架构的设立是否合理有效。</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合理有效</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较为合理</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基本合理</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不够合理</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无有效组织结构或未提供</w:t>
            </w:r>
          </w:p>
        </w:tc>
        <w:tc>
          <w:tcPr>
            <w:tcW w:w="70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公司管理制度</w:t>
            </w:r>
          </w:p>
        </w:tc>
        <w:tc>
          <w:tcPr>
            <w:tcW w:w="709"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70%</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项目管理制度</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通过对受评主体是否制定了项目管理制度，评估受评主体的项目管理能力。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已建立且较为完善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基本建立但尚不完善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未建立</w:t>
            </w:r>
          </w:p>
        </w:tc>
        <w:tc>
          <w:tcPr>
            <w:tcW w:w="709" w:type="dxa"/>
            <w:tcBorders>
              <w:top w:val="nil"/>
              <w:left w:val="nil"/>
              <w:bottom w:val="single" w:color="auto" w:sz="4" w:space="0"/>
              <w:right w:val="single" w:color="auto" w:sz="8"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质量安全管理制度</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通过对受评主体是否制定了质量安全管理制度，评估受评主体的质量安全控制能力。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已建立且较为完善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基本建立但尚不完善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未建立</w:t>
            </w:r>
          </w:p>
        </w:tc>
        <w:tc>
          <w:tcPr>
            <w:tcW w:w="709" w:type="dxa"/>
            <w:tcBorders>
              <w:top w:val="nil"/>
              <w:left w:val="nil"/>
              <w:bottom w:val="single" w:color="auto" w:sz="4" w:space="0"/>
              <w:right w:val="single" w:color="auto" w:sz="8"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采购、招投标管理制度</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通过对受评主体是否制定了采购、招投标管理制度，评估受评主体采购、招投标管理的能力。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已建立且较为完善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基本建立但尚不完善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未建立</w:t>
            </w:r>
          </w:p>
        </w:tc>
        <w:tc>
          <w:tcPr>
            <w:tcW w:w="709" w:type="dxa"/>
            <w:tcBorders>
              <w:top w:val="nil"/>
              <w:left w:val="nil"/>
              <w:bottom w:val="single" w:color="auto" w:sz="4" w:space="0"/>
              <w:right w:val="single" w:color="auto" w:sz="8"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预决算</w:t>
            </w:r>
          </w:p>
          <w:p>
            <w:pPr>
              <w:widowControl/>
              <w:jc w:val="center"/>
              <w:rPr>
                <w:rFonts w:ascii="宋体"/>
                <w:color w:val="000000"/>
                <w:kern w:val="0"/>
                <w:sz w:val="18"/>
                <w:szCs w:val="18"/>
              </w:rPr>
            </w:pPr>
            <w:r>
              <w:rPr>
                <w:rFonts w:hint="eastAsia" w:ascii="宋体" w:hAnsi="宋体" w:cs="宋体"/>
                <w:color w:val="000000"/>
                <w:kern w:val="0"/>
                <w:sz w:val="18"/>
                <w:szCs w:val="18"/>
              </w:rPr>
              <w:t>制度</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通过对受评主体是否制定了预决算制度，评估受评主体的资金管理能力。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已建立且较为完善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基本建立但尚不完善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未建立</w:t>
            </w:r>
          </w:p>
        </w:tc>
        <w:tc>
          <w:tcPr>
            <w:tcW w:w="709" w:type="dxa"/>
            <w:tcBorders>
              <w:top w:val="nil"/>
              <w:left w:val="nil"/>
              <w:bottom w:val="single" w:color="auto" w:sz="4" w:space="0"/>
              <w:right w:val="single" w:color="auto" w:sz="8"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人事管理制度</w:t>
            </w:r>
          </w:p>
        </w:tc>
        <w:tc>
          <w:tcPr>
            <w:tcW w:w="851"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2268" w:type="dxa"/>
            <w:vMerge w:val="restart"/>
            <w:tcBorders>
              <w:top w:val="nil"/>
              <w:left w:val="single" w:color="auto" w:sz="4" w:space="0"/>
              <w:bottom w:val="single" w:color="000000" w:sz="8"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通过对受评主体是否制定了人事管理制度，评估受评主体的人力资源管理能力。</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已建立且较为完善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基本建立但尚不完善</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未建立</w:t>
            </w:r>
          </w:p>
        </w:tc>
        <w:tc>
          <w:tcPr>
            <w:tcW w:w="709" w:type="dxa"/>
            <w:tcBorders>
              <w:top w:val="nil"/>
              <w:left w:val="nil"/>
              <w:bottom w:val="single" w:color="auto" w:sz="4" w:space="0"/>
              <w:right w:val="single" w:color="auto" w:sz="8"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456" w:hRule="atLeast"/>
          <w:jc w:val="center"/>
        </w:trPr>
        <w:tc>
          <w:tcPr>
            <w:tcW w:w="993"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制度执行</w:t>
            </w:r>
          </w:p>
        </w:tc>
        <w:tc>
          <w:tcPr>
            <w:tcW w:w="622"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质量、环境、安全健康管理体系认证</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992" w:type="dxa"/>
            <w:vMerge w:val="restart"/>
            <w:tcBorders>
              <w:top w:val="single" w:color="000000" w:sz="8"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r>
              <w:rPr>
                <w:rFonts w:hint="eastAsia" w:ascii="宋体" w:hAnsi="宋体" w:cs="宋体"/>
                <w:color w:val="000000"/>
                <w:kern w:val="0"/>
                <w:sz w:val="18"/>
                <w:szCs w:val="18"/>
              </w:rPr>
              <w:t>质量管理体系认证</w:t>
            </w:r>
          </w:p>
        </w:tc>
        <w:tc>
          <w:tcPr>
            <w:tcW w:w="851" w:type="dxa"/>
            <w:vMerge w:val="restart"/>
            <w:tcBorders>
              <w:top w:val="single" w:color="000000" w:sz="8"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50%</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通过考核受评主体是否通过质量管理认证体系，评估受评主体的质量管理水平。</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通过认证</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45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000000" w:sz="8"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851" w:type="dxa"/>
            <w:vMerge w:val="continue"/>
            <w:tcBorders>
              <w:top w:val="single" w:color="000000" w:sz="8"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未认证或认证暂停、撤销</w:t>
            </w:r>
          </w:p>
        </w:tc>
        <w:tc>
          <w:tcPr>
            <w:tcW w:w="709" w:type="dxa"/>
            <w:tcBorders>
              <w:top w:val="single" w:color="auto" w:sz="4" w:space="0"/>
              <w:left w:val="nil"/>
              <w:bottom w:val="single" w:color="auto" w:sz="4" w:space="0"/>
              <w:right w:val="single" w:color="auto" w:sz="4" w:space="0"/>
            </w:tcBorders>
            <w:vAlign w:val="center"/>
          </w:tcPr>
          <w:p>
            <w:pPr>
              <w:jc w:val="left"/>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444"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环境管理体系认证</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通过考核受评主体是否通过环境管理认证体系评估受评主体环境管理水平。</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通过认证</w:t>
            </w:r>
          </w:p>
        </w:tc>
        <w:tc>
          <w:tcPr>
            <w:tcW w:w="709"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未认证或认证暂停、撤销</w:t>
            </w:r>
          </w:p>
        </w:tc>
        <w:tc>
          <w:tcPr>
            <w:tcW w:w="709" w:type="dxa"/>
            <w:tcBorders>
              <w:top w:val="nil"/>
              <w:left w:val="nil"/>
              <w:bottom w:val="single" w:color="auto" w:sz="4" w:space="0"/>
              <w:right w:val="single" w:color="auto" w:sz="4" w:space="0"/>
            </w:tcBorders>
            <w:vAlign w:val="center"/>
          </w:tcPr>
          <w:p>
            <w:pPr>
              <w:jc w:val="left"/>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472"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职业健康安全管理体系认证</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2268"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通过考核受评主体是否通过职业健康安全管理认证体系评估受评主体的安全管理水平。</w:t>
            </w: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通过认证</w:t>
            </w:r>
          </w:p>
        </w:tc>
        <w:tc>
          <w:tcPr>
            <w:tcW w:w="709"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未认证或认证暂停、撤销</w:t>
            </w:r>
          </w:p>
        </w:tc>
        <w:tc>
          <w:tcPr>
            <w:tcW w:w="709" w:type="dxa"/>
            <w:tcBorders>
              <w:top w:val="nil"/>
              <w:left w:val="nil"/>
              <w:bottom w:val="single" w:color="auto" w:sz="4" w:space="0"/>
              <w:right w:val="single" w:color="auto" w:sz="4" w:space="0"/>
            </w:tcBorders>
            <w:vAlign w:val="center"/>
          </w:tcPr>
          <w:p>
            <w:pPr>
              <w:jc w:val="left"/>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624"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工程</w:t>
            </w:r>
          </w:p>
          <w:p>
            <w:pPr>
              <w:widowControl/>
              <w:jc w:val="center"/>
              <w:rPr>
                <w:rFonts w:ascii="宋体"/>
                <w:color w:val="000000"/>
                <w:kern w:val="0"/>
                <w:sz w:val="18"/>
                <w:szCs w:val="18"/>
              </w:rPr>
            </w:pPr>
            <w:r>
              <w:rPr>
                <w:rFonts w:hint="eastAsia" w:ascii="宋体" w:hAnsi="宋体" w:cs="宋体"/>
                <w:color w:val="000000"/>
                <w:kern w:val="0"/>
                <w:sz w:val="18"/>
                <w:szCs w:val="18"/>
              </w:rPr>
              <w:t>质量</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992" w:type="dxa"/>
            <w:vMerge w:val="restart"/>
            <w:tcBorders>
              <w:top w:val="single" w:color="auto" w:sz="4" w:space="0"/>
              <w:left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年内</w:t>
            </w:r>
          </w:p>
          <w:p>
            <w:pPr>
              <w:widowControl/>
              <w:jc w:val="center"/>
              <w:rPr>
                <w:rFonts w:ascii="宋体"/>
                <w:color w:val="000000"/>
                <w:kern w:val="0"/>
                <w:sz w:val="18"/>
                <w:szCs w:val="18"/>
              </w:rPr>
            </w:pPr>
            <w:r>
              <w:rPr>
                <w:rFonts w:hint="eastAsia" w:ascii="宋体" w:hAnsi="宋体" w:cs="宋体"/>
                <w:color w:val="000000"/>
                <w:kern w:val="0"/>
                <w:sz w:val="18"/>
                <w:szCs w:val="18"/>
              </w:rPr>
              <w:t>工程获奖次数</w:t>
            </w:r>
          </w:p>
        </w:tc>
        <w:tc>
          <w:tcPr>
            <w:tcW w:w="85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2268"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通过外部评价考核受评主体工程质量情况（国家、省部、市级）。</w:t>
            </w:r>
          </w:p>
        </w:tc>
        <w:tc>
          <w:tcPr>
            <w:tcW w:w="1984" w:type="dxa"/>
            <w:tcBorders>
              <w:top w:val="single" w:color="auto" w:sz="4" w:space="0"/>
              <w:left w:val="nil"/>
              <w:bottom w:val="single" w:color="auto" w:sz="4" w:space="0"/>
              <w:right w:val="single" w:color="auto" w:sz="4" w:space="0"/>
            </w:tcBorders>
            <w:vAlign w:val="center"/>
          </w:tcPr>
          <w:p>
            <w:pPr>
              <w:rPr>
                <w:rFonts w:ascii="宋体"/>
                <w:color w:val="000000"/>
                <w:kern w:val="0"/>
                <w:sz w:val="18"/>
                <w:szCs w:val="18"/>
              </w:rPr>
            </w:pPr>
            <w:r>
              <w:rPr>
                <w:rFonts w:hint="eastAsia" w:ascii="宋体" w:hAnsi="宋体" w:cs="宋体"/>
                <w:color w:val="000000"/>
                <w:kern w:val="0"/>
                <w:sz w:val="18"/>
                <w:szCs w:val="18"/>
              </w:rPr>
              <w:t>多于</w:t>
            </w:r>
            <w:r>
              <w:rPr>
                <w:rFonts w:ascii="宋体" w:hAnsi="宋体" w:cs="宋体"/>
                <w:color w:val="000000"/>
                <w:kern w:val="0"/>
                <w:sz w:val="18"/>
                <w:szCs w:val="18"/>
              </w:rPr>
              <w:t>20</w:t>
            </w:r>
            <w:r>
              <w:rPr>
                <w:rFonts w:hint="eastAsia" w:ascii="宋体" w:hAnsi="宋体" w:cs="宋体"/>
                <w:color w:val="000000"/>
                <w:kern w:val="0"/>
                <w:sz w:val="18"/>
                <w:szCs w:val="18"/>
              </w:rPr>
              <w:t>次</w:t>
            </w:r>
          </w:p>
        </w:tc>
        <w:tc>
          <w:tcPr>
            <w:tcW w:w="709"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至</w:t>
            </w:r>
            <w:r>
              <w:rPr>
                <w:rFonts w:ascii="宋体" w:hAnsi="宋体" w:cs="宋体"/>
                <w:color w:val="000000"/>
                <w:kern w:val="0"/>
                <w:sz w:val="18"/>
                <w:szCs w:val="18"/>
              </w:rPr>
              <w:t>20</w:t>
            </w:r>
            <w:r>
              <w:rPr>
                <w:rFonts w:hint="eastAsia" w:ascii="宋体" w:hAnsi="宋体" w:cs="宋体"/>
                <w:color w:val="000000"/>
                <w:kern w:val="0"/>
                <w:sz w:val="18"/>
                <w:szCs w:val="18"/>
              </w:rPr>
              <w:t>次</w:t>
            </w:r>
          </w:p>
        </w:tc>
        <w:tc>
          <w:tcPr>
            <w:tcW w:w="709"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至</w:t>
            </w:r>
            <w:r>
              <w:rPr>
                <w:rFonts w:ascii="宋体" w:hAnsi="宋体" w:cs="宋体"/>
                <w:color w:val="000000"/>
                <w:kern w:val="0"/>
                <w:sz w:val="18"/>
                <w:szCs w:val="18"/>
              </w:rPr>
              <w:t>10</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至</w:t>
            </w:r>
            <w:r>
              <w:rPr>
                <w:rFonts w:ascii="宋体" w:hAnsi="宋体" w:cs="宋体"/>
                <w:color w:val="000000"/>
                <w:kern w:val="0"/>
                <w:sz w:val="18"/>
                <w:szCs w:val="18"/>
              </w:rPr>
              <w:t>5</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至</w:t>
            </w:r>
            <w:r>
              <w:rPr>
                <w:rFonts w:ascii="宋体" w:hAnsi="宋体" w:cs="宋体"/>
                <w:color w:val="000000"/>
                <w:kern w:val="0"/>
                <w:sz w:val="18"/>
                <w:szCs w:val="18"/>
              </w:rPr>
              <w:t>3</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无</w:t>
            </w:r>
          </w:p>
        </w:tc>
        <w:tc>
          <w:tcPr>
            <w:tcW w:w="70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投诉次数（减分）</w:t>
            </w:r>
          </w:p>
        </w:tc>
        <w:tc>
          <w:tcPr>
            <w:tcW w:w="851"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2268"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通过近三年外部评价考核受评主体工程质量情况（投诉标准为各级司法或行政执法部门出具的投诉处理决定书）。</w:t>
            </w: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次及以上</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次</w:t>
            </w:r>
          </w:p>
        </w:tc>
        <w:tc>
          <w:tcPr>
            <w:tcW w:w="709"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无</w:t>
            </w:r>
          </w:p>
        </w:tc>
        <w:tc>
          <w:tcPr>
            <w:tcW w:w="709"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安全事故（减分项）</w:t>
            </w:r>
          </w:p>
        </w:tc>
        <w:tc>
          <w:tcPr>
            <w:tcW w:w="709" w:type="dxa"/>
            <w:vMerge w:val="restart"/>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p>
            <w:pPr>
              <w:widowControl/>
              <w:jc w:val="center"/>
              <w:rPr>
                <w:rFonts w:ascii="宋体" w:hAnsi="宋体" w:cs="宋体"/>
                <w:color w:val="000000"/>
                <w:kern w:val="0"/>
                <w:sz w:val="18"/>
                <w:szCs w:val="18"/>
              </w:rPr>
            </w:pPr>
          </w:p>
        </w:tc>
        <w:tc>
          <w:tcPr>
            <w:tcW w:w="992" w:type="dxa"/>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特别重大事故</w:t>
            </w:r>
          </w:p>
        </w:tc>
        <w:tc>
          <w:tcPr>
            <w:tcW w:w="851" w:type="dxa"/>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2268" w:type="dxa"/>
            <w:vMerge w:val="restart"/>
            <w:tcBorders>
              <w:top w:val="nil"/>
              <w:left w:val="single" w:color="auto" w:sz="4" w:space="0"/>
              <w:bottom w:val="single" w:color="000000" w:sz="8"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通过对受评主体近三年是否发生过安全事故以及事故的损失程度的考核，评估受评主体是否严格执行了安全管理制度。</w:t>
            </w: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亿元</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重大事故</w:t>
            </w:r>
          </w:p>
        </w:tc>
        <w:tc>
          <w:tcPr>
            <w:tcW w:w="851" w:type="dxa"/>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22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[5000</w:t>
            </w:r>
            <w:r>
              <w:rPr>
                <w:rFonts w:hint="eastAsia" w:ascii="宋体" w:hAnsi="宋体" w:cs="宋体"/>
                <w:color w:val="000000"/>
                <w:kern w:val="0"/>
                <w:sz w:val="18"/>
                <w:szCs w:val="18"/>
              </w:rPr>
              <w:t>万元</w:t>
            </w:r>
            <w:r>
              <w:rPr>
                <w:rFonts w:ascii="宋体" w:hAnsi="宋体" w:cs="宋体"/>
                <w:color w:val="000000"/>
                <w:kern w:val="0"/>
                <w:sz w:val="18"/>
                <w:szCs w:val="18"/>
              </w:rPr>
              <w:t>,1</w:t>
            </w:r>
            <w:r>
              <w:rPr>
                <w:rFonts w:hint="eastAsia" w:ascii="宋体" w:hAnsi="宋体" w:cs="宋体"/>
                <w:color w:val="000000"/>
                <w:kern w:val="0"/>
                <w:sz w:val="18"/>
                <w:szCs w:val="18"/>
              </w:rPr>
              <w:t>亿元</w:t>
            </w:r>
            <w:r>
              <w:rPr>
                <w:rFonts w:ascii="宋体" w:hAnsi="宋体" w:cs="宋体"/>
                <w:color w:val="000000"/>
                <w:kern w:val="0"/>
                <w:sz w:val="18"/>
                <w:szCs w:val="18"/>
              </w:rPr>
              <w:t>)</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较大事故</w:t>
            </w:r>
          </w:p>
        </w:tc>
        <w:tc>
          <w:tcPr>
            <w:tcW w:w="851" w:type="dxa"/>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22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[1000</w:t>
            </w:r>
            <w:r>
              <w:rPr>
                <w:rFonts w:hint="eastAsia" w:ascii="宋体" w:hAnsi="宋体" w:cs="宋体"/>
                <w:color w:val="000000"/>
                <w:kern w:val="0"/>
                <w:sz w:val="18"/>
                <w:szCs w:val="18"/>
              </w:rPr>
              <w:t>万元</w:t>
            </w:r>
            <w:r>
              <w:rPr>
                <w:rFonts w:ascii="宋体" w:hAnsi="宋体" w:cs="宋体"/>
                <w:color w:val="000000"/>
                <w:kern w:val="0"/>
                <w:sz w:val="18"/>
                <w:szCs w:val="18"/>
              </w:rPr>
              <w:t>,5000</w:t>
            </w:r>
            <w:r>
              <w:rPr>
                <w:rFonts w:hint="eastAsia" w:ascii="宋体" w:hAnsi="宋体" w:cs="宋体"/>
                <w:color w:val="000000"/>
                <w:kern w:val="0"/>
                <w:sz w:val="18"/>
                <w:szCs w:val="18"/>
              </w:rPr>
              <w:t>万元</w:t>
            </w:r>
            <w:r>
              <w:rPr>
                <w:rFonts w:ascii="宋体" w:hAnsi="宋体" w:cs="宋体"/>
                <w:color w:val="000000"/>
                <w:kern w:val="0"/>
                <w:sz w:val="18"/>
                <w:szCs w:val="18"/>
              </w:rPr>
              <w:t>)</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993"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tcBorders>
              <w:top w:val="nil"/>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一般事故</w:t>
            </w:r>
          </w:p>
        </w:tc>
        <w:tc>
          <w:tcPr>
            <w:tcW w:w="851" w:type="dxa"/>
            <w:tcBorders>
              <w:top w:val="nil"/>
              <w:left w:val="single" w:color="auto" w:sz="4" w:space="0"/>
              <w:bottom w:val="single" w:color="000000" w:sz="8"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2268"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1000</w:t>
            </w:r>
            <w:r>
              <w:rPr>
                <w:rFonts w:hint="eastAsia" w:ascii="宋体" w:hAnsi="宋体" w:cs="宋体"/>
                <w:color w:val="000000"/>
                <w:kern w:val="0"/>
                <w:sz w:val="18"/>
                <w:szCs w:val="18"/>
              </w:rPr>
              <w:t>万元</w:t>
            </w:r>
          </w:p>
        </w:tc>
        <w:tc>
          <w:tcPr>
            <w:tcW w:w="709" w:type="dxa"/>
            <w:tcBorders>
              <w:top w:val="nil"/>
              <w:left w:val="nil"/>
              <w:bottom w:val="single" w:color="auto" w:sz="4"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574" w:hRule="atLeast"/>
          <w:jc w:val="center"/>
        </w:trPr>
        <w:tc>
          <w:tcPr>
            <w:tcW w:w="993" w:type="dxa"/>
            <w:vMerge w:val="restart"/>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信息化</w:t>
            </w:r>
          </w:p>
          <w:p>
            <w:pPr>
              <w:widowControl/>
              <w:jc w:val="center"/>
              <w:rPr>
                <w:rFonts w:ascii="宋体"/>
                <w:color w:val="000000"/>
                <w:kern w:val="0"/>
                <w:sz w:val="18"/>
                <w:szCs w:val="18"/>
              </w:rPr>
            </w:pPr>
            <w:r>
              <w:rPr>
                <w:rFonts w:hint="eastAsia" w:ascii="宋体" w:hAnsi="宋体" w:cs="宋体"/>
                <w:color w:val="000000"/>
                <w:kern w:val="0"/>
                <w:sz w:val="18"/>
                <w:szCs w:val="18"/>
              </w:rPr>
              <w:t>系统</w:t>
            </w:r>
          </w:p>
        </w:tc>
        <w:tc>
          <w:tcPr>
            <w:tcW w:w="622" w:type="dxa"/>
            <w:vMerge w:val="restart"/>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079" w:type="dxa"/>
            <w:vMerge w:val="restart"/>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709" w:type="dxa"/>
            <w:vMerge w:val="restart"/>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992" w:type="dxa"/>
            <w:vMerge w:val="restart"/>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vMerge w:val="restart"/>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2268" w:type="dxa"/>
            <w:vMerge w:val="restart"/>
            <w:tcBorders>
              <w:top w:val="single" w:color="000000" w:sz="8" w:space="0"/>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通过考核受评主体是否建立办公管理自动化系统及项目管理系统（如企业</w:t>
            </w:r>
            <w:r>
              <w:rPr>
                <w:rFonts w:ascii="宋体" w:hAnsi="宋体" w:cs="宋体"/>
                <w:color w:val="000000"/>
                <w:kern w:val="0"/>
                <w:sz w:val="18"/>
                <w:szCs w:val="18"/>
              </w:rPr>
              <w:t>OA</w:t>
            </w:r>
            <w:r>
              <w:rPr>
                <w:rFonts w:hint="eastAsia" w:ascii="宋体" w:hAnsi="宋体" w:cs="宋体"/>
                <w:color w:val="000000"/>
                <w:kern w:val="0"/>
                <w:sz w:val="18"/>
                <w:szCs w:val="18"/>
              </w:rPr>
              <w:t>办公系统、电子化办公平台、信息处理系统等），评估受评主体的信息化水平。</w:t>
            </w:r>
          </w:p>
        </w:tc>
        <w:tc>
          <w:tcPr>
            <w:tcW w:w="1984" w:type="dxa"/>
            <w:tcBorders>
              <w:top w:val="nil"/>
              <w:left w:val="nil"/>
              <w:bottom w:val="single" w:color="auto" w:sz="8"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已建立且较为完善</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682"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基本建立但尚不完善</w:t>
            </w:r>
          </w:p>
        </w:tc>
        <w:tc>
          <w:tcPr>
            <w:tcW w:w="709" w:type="dxa"/>
            <w:tcBorders>
              <w:top w:val="nil"/>
              <w:left w:val="nil"/>
              <w:bottom w:val="single" w:color="auto" w:sz="8" w:space="0"/>
              <w:right w:val="single" w:color="auto" w:sz="8" w:space="0"/>
            </w:tcBorders>
            <w:vAlign w:val="center"/>
          </w:tcPr>
          <w:p>
            <w:pPr>
              <w:rPr>
                <w:rFonts w:ascii="宋体" w:hAnsi="宋体" w:cs="宋体"/>
                <w:color w:val="000000"/>
                <w:sz w:val="18"/>
                <w:szCs w:val="18"/>
              </w:rPr>
            </w:pPr>
            <w:r>
              <w:rPr>
                <w:rFonts w:ascii="宋体" w:hAnsi="宋体" w:cs="宋体"/>
                <w:color w:val="000000"/>
                <w:sz w:val="18"/>
                <w:szCs w:val="18"/>
              </w:rPr>
              <w:t>50</w:t>
            </w:r>
          </w:p>
        </w:tc>
      </w:tr>
      <w:tr>
        <w:tblPrEx>
          <w:tblCellMar>
            <w:top w:w="0" w:type="dxa"/>
            <w:left w:w="108" w:type="dxa"/>
            <w:bottom w:w="0" w:type="dxa"/>
            <w:right w:w="108" w:type="dxa"/>
          </w:tblCellMar>
        </w:tblPrEx>
        <w:trPr>
          <w:trHeight w:val="2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未建立</w:t>
            </w:r>
          </w:p>
        </w:tc>
        <w:tc>
          <w:tcPr>
            <w:tcW w:w="709" w:type="dxa"/>
            <w:tcBorders>
              <w:top w:val="nil"/>
              <w:left w:val="nil"/>
              <w:bottom w:val="single" w:color="auto" w:sz="8" w:space="0"/>
              <w:right w:val="single" w:color="auto" w:sz="8" w:space="0"/>
            </w:tcBorders>
            <w:vAlign w:val="center"/>
          </w:tcPr>
          <w:p>
            <w:pPr>
              <w:rPr>
                <w:rFonts w:ascii="宋体" w:cs="宋体"/>
                <w:color w:val="000000"/>
                <w:sz w:val="18"/>
                <w:szCs w:val="18"/>
              </w:rPr>
            </w:pPr>
            <w:r>
              <w:rPr>
                <w:rFonts w:ascii="宋体" w:cs="宋体"/>
                <w:color w:val="000000"/>
                <w:sz w:val="18"/>
                <w:szCs w:val="18"/>
              </w:rPr>
              <w:t>0</w:t>
            </w:r>
          </w:p>
        </w:tc>
      </w:tr>
      <w:tr>
        <w:tblPrEx>
          <w:tblCellMar>
            <w:top w:w="0" w:type="dxa"/>
            <w:left w:w="108" w:type="dxa"/>
            <w:bottom w:w="0" w:type="dxa"/>
            <w:right w:w="108" w:type="dxa"/>
          </w:tblCellMar>
        </w:tblPrEx>
        <w:trPr>
          <w:trHeight w:val="20" w:hRule="atLeast"/>
          <w:jc w:val="center"/>
        </w:trPr>
        <w:tc>
          <w:tcPr>
            <w:tcW w:w="993" w:type="dxa"/>
            <w:vMerge w:val="restart"/>
            <w:tcBorders>
              <w:top w:val="single" w:color="auto" w:sz="4" w:space="0"/>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创新能力</w:t>
            </w:r>
          </w:p>
        </w:tc>
        <w:tc>
          <w:tcPr>
            <w:tcW w:w="6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p>
            <w:pPr>
              <w:jc w:val="center"/>
              <w:rPr>
                <w:rFonts w:ascii="宋体"/>
                <w:color w:val="000000"/>
                <w:kern w:val="0"/>
                <w:sz w:val="18"/>
                <w:szCs w:val="18"/>
              </w:rPr>
            </w:pPr>
          </w:p>
        </w:tc>
        <w:tc>
          <w:tcPr>
            <w:tcW w:w="1079" w:type="dxa"/>
            <w:vMerge w:val="restart"/>
            <w:tcBorders>
              <w:top w:val="single" w:color="auto" w:sz="4" w:space="0"/>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专利、工法、行业</w:t>
            </w:r>
          </w:p>
          <w:p>
            <w:pPr>
              <w:widowControl/>
              <w:jc w:val="center"/>
              <w:rPr>
                <w:rFonts w:ascii="宋体"/>
                <w:color w:val="000000"/>
                <w:kern w:val="0"/>
                <w:sz w:val="18"/>
                <w:szCs w:val="18"/>
              </w:rPr>
            </w:pPr>
            <w:r>
              <w:rPr>
                <w:rFonts w:hint="eastAsia" w:ascii="宋体" w:hAnsi="宋体" w:cs="宋体"/>
                <w:color w:val="000000"/>
                <w:kern w:val="0"/>
                <w:sz w:val="18"/>
                <w:szCs w:val="18"/>
              </w:rPr>
              <w:t>立法</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60%</w:t>
            </w:r>
          </w:p>
        </w:tc>
        <w:tc>
          <w:tcPr>
            <w:tcW w:w="99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2268" w:type="dxa"/>
            <w:vMerge w:val="restart"/>
            <w:tcBorders>
              <w:top w:val="single" w:color="auto" w:sz="4" w:space="0"/>
              <w:left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通过对受评主体近三年获取专利、工法数量的统计，评估受评主体的创新能力。</w:t>
            </w:r>
          </w:p>
        </w:tc>
        <w:tc>
          <w:tcPr>
            <w:tcW w:w="1984" w:type="dxa"/>
            <w:tcBorders>
              <w:top w:val="nil"/>
              <w:left w:val="nil"/>
              <w:bottom w:val="single" w:color="auto" w:sz="8"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评价年度数量</w:t>
            </w:r>
          </w:p>
        </w:tc>
        <w:tc>
          <w:tcPr>
            <w:tcW w:w="709" w:type="dxa"/>
            <w:tcBorders>
              <w:top w:val="nil"/>
              <w:left w:val="nil"/>
              <w:bottom w:val="single" w:color="auto" w:sz="8" w:space="0"/>
              <w:right w:val="single" w:color="auto" w:sz="8"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tcPr>
          <w:p>
            <w:pPr>
              <w:rPr>
                <w:rFonts w:ascii="宋体"/>
                <w:color w:val="000000"/>
                <w:sz w:val="18"/>
                <w:szCs w:val="18"/>
              </w:rPr>
            </w:pPr>
            <w:r>
              <w:rPr>
                <w:rFonts w:hint="eastAsia" w:ascii="宋体" w:hAnsi="宋体" w:cs="宋体"/>
                <w:color w:val="000000"/>
                <w:sz w:val="18"/>
                <w:szCs w:val="18"/>
              </w:rPr>
              <w:t>多于</w:t>
            </w:r>
            <w:r>
              <w:rPr>
                <w:rFonts w:ascii="宋体" w:hAnsi="宋体" w:cs="宋体"/>
                <w:color w:val="000000"/>
                <w:sz w:val="18"/>
                <w:szCs w:val="18"/>
              </w:rPr>
              <w:t>20</w:t>
            </w:r>
            <w:r>
              <w:rPr>
                <w:rFonts w:hint="eastAsia" w:ascii="宋体" w:hAnsi="宋体" w:cs="宋体"/>
                <w:color w:val="000000"/>
                <w:sz w:val="18"/>
                <w:szCs w:val="18"/>
              </w:rPr>
              <w:t>项</w:t>
            </w:r>
          </w:p>
        </w:tc>
        <w:tc>
          <w:tcPr>
            <w:tcW w:w="709" w:type="dxa"/>
            <w:tcBorders>
              <w:top w:val="nil"/>
              <w:left w:val="nil"/>
              <w:bottom w:val="single" w:color="auto" w:sz="8" w:space="0"/>
              <w:right w:val="single" w:color="auto" w:sz="8" w:space="0"/>
            </w:tcBorders>
          </w:tcPr>
          <w:p>
            <w:pPr>
              <w:rPr>
                <w:rFonts w:ascii="宋体" w:hAnsi="宋体" w:cs="宋体"/>
                <w:color w:val="000000"/>
                <w:sz w:val="18"/>
                <w:szCs w:val="18"/>
              </w:rPr>
            </w:pPr>
            <w:r>
              <w:rPr>
                <w:rFonts w:ascii="宋体" w:hAnsi="宋体" w:cs="宋体"/>
                <w:color w:val="00000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tcPr>
          <w:p>
            <w:pPr>
              <w:rPr>
                <w:rFonts w:ascii="宋体"/>
                <w:color w:val="000000"/>
                <w:sz w:val="18"/>
                <w:szCs w:val="18"/>
              </w:rPr>
            </w:pPr>
            <w:r>
              <w:rPr>
                <w:rFonts w:ascii="宋体" w:hAnsi="宋体" w:cs="宋体"/>
                <w:color w:val="000000"/>
                <w:sz w:val="18"/>
                <w:szCs w:val="18"/>
              </w:rPr>
              <w:t>10</w:t>
            </w:r>
            <w:r>
              <w:rPr>
                <w:rFonts w:hint="eastAsia" w:ascii="宋体" w:hAnsi="宋体" w:cs="宋体"/>
                <w:color w:val="000000"/>
                <w:sz w:val="18"/>
                <w:szCs w:val="18"/>
              </w:rPr>
              <w:t>至</w:t>
            </w:r>
            <w:r>
              <w:rPr>
                <w:rFonts w:ascii="宋体" w:hAnsi="宋体" w:cs="宋体"/>
                <w:color w:val="000000"/>
                <w:sz w:val="18"/>
                <w:szCs w:val="18"/>
              </w:rPr>
              <w:t>20</w:t>
            </w:r>
            <w:r>
              <w:rPr>
                <w:rFonts w:hint="eastAsia" w:ascii="宋体" w:hAnsi="宋体" w:cs="宋体"/>
                <w:color w:val="000000"/>
                <w:sz w:val="18"/>
                <w:szCs w:val="18"/>
              </w:rPr>
              <w:t>项</w:t>
            </w:r>
          </w:p>
        </w:tc>
        <w:tc>
          <w:tcPr>
            <w:tcW w:w="709" w:type="dxa"/>
            <w:tcBorders>
              <w:top w:val="nil"/>
              <w:left w:val="nil"/>
              <w:bottom w:val="single" w:color="auto" w:sz="8" w:space="0"/>
              <w:right w:val="single" w:color="auto" w:sz="8" w:space="0"/>
            </w:tcBorders>
          </w:tcPr>
          <w:p>
            <w:pPr>
              <w:rPr>
                <w:rFonts w:ascii="宋体" w:hAnsi="宋体" w:cs="宋体"/>
                <w:color w:val="000000"/>
                <w:sz w:val="18"/>
                <w:szCs w:val="18"/>
              </w:rPr>
            </w:pPr>
            <w:r>
              <w:rPr>
                <w:rFonts w:ascii="宋体" w:hAnsi="宋体" w:cs="宋体"/>
                <w:color w:val="00000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tcPr>
          <w:p>
            <w:pPr>
              <w:rPr>
                <w:rFonts w:ascii="宋体"/>
                <w:color w:val="000000"/>
                <w:sz w:val="18"/>
                <w:szCs w:val="18"/>
              </w:rPr>
            </w:pPr>
            <w:r>
              <w:rPr>
                <w:rFonts w:ascii="宋体" w:hAnsi="宋体" w:cs="宋体"/>
                <w:color w:val="000000"/>
                <w:sz w:val="18"/>
                <w:szCs w:val="18"/>
              </w:rPr>
              <w:t>5</w:t>
            </w:r>
            <w:r>
              <w:rPr>
                <w:rFonts w:hint="eastAsia" w:ascii="宋体" w:hAnsi="宋体" w:cs="宋体"/>
                <w:color w:val="000000"/>
                <w:sz w:val="18"/>
                <w:szCs w:val="18"/>
              </w:rPr>
              <w:t>至</w:t>
            </w:r>
            <w:r>
              <w:rPr>
                <w:rFonts w:ascii="宋体" w:hAnsi="宋体" w:cs="宋体"/>
                <w:color w:val="000000"/>
                <w:sz w:val="18"/>
                <w:szCs w:val="18"/>
              </w:rPr>
              <w:t>10</w:t>
            </w:r>
            <w:r>
              <w:rPr>
                <w:rFonts w:hint="eastAsia" w:ascii="宋体" w:hAnsi="宋体" w:cs="宋体"/>
                <w:color w:val="000000"/>
                <w:sz w:val="18"/>
                <w:szCs w:val="18"/>
              </w:rPr>
              <w:t>项</w:t>
            </w:r>
          </w:p>
        </w:tc>
        <w:tc>
          <w:tcPr>
            <w:tcW w:w="709" w:type="dxa"/>
            <w:tcBorders>
              <w:top w:val="nil"/>
              <w:left w:val="nil"/>
              <w:bottom w:val="single" w:color="auto" w:sz="8" w:space="0"/>
              <w:right w:val="single" w:color="auto" w:sz="8" w:space="0"/>
            </w:tcBorders>
          </w:tcPr>
          <w:p>
            <w:pPr>
              <w:rPr>
                <w:rFonts w:ascii="宋体" w:hAnsi="宋体" w:cs="宋体"/>
                <w:color w:val="000000"/>
                <w:sz w:val="18"/>
                <w:szCs w:val="18"/>
              </w:rPr>
            </w:pPr>
            <w:r>
              <w:rPr>
                <w:rFonts w:ascii="宋体" w:hAnsi="宋体" w:cs="宋体"/>
                <w:color w:val="000000"/>
                <w:sz w:val="18"/>
                <w:szCs w:val="18"/>
              </w:rPr>
              <w:t>60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tcPr>
          <w:p>
            <w:pPr>
              <w:rPr>
                <w:rFonts w:ascii="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至</w:t>
            </w:r>
            <w:r>
              <w:rPr>
                <w:rFonts w:ascii="宋体" w:hAnsi="宋体" w:cs="宋体"/>
                <w:color w:val="000000"/>
                <w:sz w:val="18"/>
                <w:szCs w:val="18"/>
              </w:rPr>
              <w:t>5</w:t>
            </w:r>
            <w:r>
              <w:rPr>
                <w:rFonts w:hint="eastAsia" w:ascii="宋体" w:hAnsi="宋体" w:cs="宋体"/>
                <w:color w:val="000000"/>
                <w:sz w:val="18"/>
                <w:szCs w:val="18"/>
              </w:rPr>
              <w:t>项</w:t>
            </w:r>
          </w:p>
        </w:tc>
        <w:tc>
          <w:tcPr>
            <w:tcW w:w="709" w:type="dxa"/>
            <w:tcBorders>
              <w:top w:val="nil"/>
              <w:left w:val="nil"/>
              <w:bottom w:val="single" w:color="auto" w:sz="8" w:space="0"/>
              <w:right w:val="single" w:color="auto" w:sz="8" w:space="0"/>
            </w:tcBorders>
          </w:tcPr>
          <w:p>
            <w:pPr>
              <w:rPr>
                <w:rFonts w:ascii="宋体" w:hAnsi="宋体" w:cs="宋体"/>
                <w:color w:val="000000"/>
                <w:sz w:val="18"/>
                <w:szCs w:val="18"/>
              </w:rPr>
            </w:pPr>
            <w:r>
              <w:rPr>
                <w:rFonts w:ascii="宋体" w:hAnsi="宋体" w:cs="宋体"/>
                <w:color w:val="000000"/>
                <w:sz w:val="18"/>
                <w:szCs w:val="18"/>
              </w:rPr>
              <w:t>40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tcPr>
          <w:p>
            <w:pPr>
              <w:rPr>
                <w:rFonts w:ascii="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至</w:t>
            </w:r>
            <w:r>
              <w:rPr>
                <w:rFonts w:ascii="宋体" w:hAnsi="宋体" w:cs="宋体"/>
                <w:color w:val="000000"/>
                <w:sz w:val="18"/>
                <w:szCs w:val="18"/>
              </w:rPr>
              <w:t>3</w:t>
            </w:r>
            <w:r>
              <w:rPr>
                <w:rFonts w:hint="eastAsia" w:ascii="宋体" w:hAnsi="宋体" w:cs="宋体"/>
                <w:color w:val="000000"/>
                <w:sz w:val="18"/>
                <w:szCs w:val="18"/>
              </w:rPr>
              <w:t>项</w:t>
            </w:r>
          </w:p>
        </w:tc>
        <w:tc>
          <w:tcPr>
            <w:tcW w:w="709" w:type="dxa"/>
            <w:tcBorders>
              <w:top w:val="nil"/>
              <w:left w:val="nil"/>
              <w:bottom w:val="single" w:color="auto" w:sz="8" w:space="0"/>
              <w:right w:val="single" w:color="auto" w:sz="8" w:space="0"/>
            </w:tcBorders>
          </w:tcPr>
          <w:p>
            <w:pPr>
              <w:rPr>
                <w:rFonts w:ascii="宋体" w:hAnsi="宋体" w:cs="宋体"/>
                <w:color w:val="000000"/>
                <w:sz w:val="18"/>
                <w:szCs w:val="18"/>
              </w:rPr>
            </w:pPr>
            <w:r>
              <w:rPr>
                <w:rFonts w:ascii="宋体" w:hAnsi="宋体" w:cs="宋体"/>
                <w:color w:val="000000"/>
                <w:sz w:val="18"/>
                <w:szCs w:val="18"/>
              </w:rPr>
              <w:t>20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tcPr>
          <w:p>
            <w:pPr>
              <w:rPr>
                <w:rFonts w:ascii="宋体"/>
                <w:color w:val="000000"/>
                <w:sz w:val="18"/>
                <w:szCs w:val="18"/>
              </w:rPr>
            </w:pPr>
            <w:r>
              <w:rPr>
                <w:rFonts w:hint="eastAsia" w:ascii="宋体" w:hAnsi="宋体" w:cs="宋体"/>
                <w:color w:val="000000"/>
                <w:sz w:val="18"/>
                <w:szCs w:val="18"/>
              </w:rPr>
              <w:t>无</w:t>
            </w:r>
          </w:p>
        </w:tc>
        <w:tc>
          <w:tcPr>
            <w:tcW w:w="709" w:type="dxa"/>
            <w:tcBorders>
              <w:top w:val="nil"/>
              <w:left w:val="nil"/>
              <w:bottom w:val="single" w:color="auto" w:sz="8" w:space="0"/>
              <w:right w:val="single" w:color="auto" w:sz="8" w:space="0"/>
            </w:tcBorders>
          </w:tcPr>
          <w:p>
            <w:pPr>
              <w:rPr>
                <w:rFonts w:ascii="宋体" w:cs="宋体"/>
                <w:color w:val="000000"/>
                <w:sz w:val="18"/>
                <w:szCs w:val="18"/>
              </w:rPr>
            </w:pPr>
            <w:r>
              <w:rPr>
                <w:rFonts w:ascii="宋体" w:cs="宋体"/>
                <w:color w:val="000000"/>
                <w:sz w:val="18"/>
                <w:szCs w:val="18"/>
              </w:rPr>
              <w:t>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技术研发人员比例</w:t>
            </w:r>
          </w:p>
        </w:tc>
        <w:tc>
          <w:tcPr>
            <w:tcW w:w="709"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99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2268" w:type="dxa"/>
            <w:vMerge w:val="restart"/>
            <w:tcBorders>
              <w:top w:val="nil"/>
              <w:left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通过对受评主体专业技术人员占全部员工比例的统计，评估受评主体的创新潜质。</w:t>
            </w:r>
          </w:p>
        </w:tc>
        <w:tc>
          <w:tcPr>
            <w:tcW w:w="1984" w:type="dxa"/>
            <w:tcBorders>
              <w:top w:val="nil"/>
              <w:left w:val="nil"/>
              <w:bottom w:val="single" w:color="auto" w:sz="8"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以上</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至</w:t>
            </w:r>
            <w:r>
              <w:rPr>
                <w:rFonts w:ascii="宋体" w:hAnsi="宋体" w:cs="宋体"/>
                <w:color w:val="000000"/>
                <w:kern w:val="0"/>
                <w:sz w:val="18"/>
                <w:szCs w:val="18"/>
              </w:rPr>
              <w:t>30%</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至</w:t>
            </w:r>
            <w:r>
              <w:rPr>
                <w:rFonts w:ascii="宋体" w:hAnsi="宋体" w:cs="宋体"/>
                <w:color w:val="000000"/>
                <w:kern w:val="0"/>
                <w:sz w:val="18"/>
                <w:szCs w:val="18"/>
              </w:rPr>
              <w:t>20%</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至</w:t>
            </w:r>
            <w:r>
              <w:rPr>
                <w:rFonts w:ascii="宋体" w:hAnsi="宋体" w:cs="宋体"/>
                <w:color w:val="000000"/>
                <w:kern w:val="0"/>
                <w:sz w:val="18"/>
                <w:szCs w:val="18"/>
              </w:rPr>
              <w:t>15%</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至</w:t>
            </w:r>
            <w:r>
              <w:rPr>
                <w:rFonts w:ascii="宋体" w:hAnsi="宋体" w:cs="宋体"/>
                <w:color w:val="000000"/>
                <w:kern w:val="0"/>
                <w:sz w:val="18"/>
                <w:szCs w:val="18"/>
              </w:rPr>
              <w:t>10%</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709"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992"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851" w:type="dxa"/>
            <w:vMerge w:val="continue"/>
            <w:tcBorders>
              <w:left w:val="single" w:color="auto" w:sz="4" w:space="0"/>
              <w:bottom w:val="single" w:color="000000" w:sz="8" w:space="0"/>
              <w:right w:val="single" w:color="auto" w:sz="4" w:space="0"/>
            </w:tcBorders>
            <w:vAlign w:val="center"/>
          </w:tcPr>
          <w:p>
            <w:pPr>
              <w:widowControl/>
              <w:jc w:val="center"/>
              <w:rPr>
                <w:rFonts w:ascii="宋体"/>
                <w:color w:val="000000"/>
                <w:kern w:val="0"/>
                <w:sz w:val="18"/>
                <w:szCs w:val="18"/>
              </w:rPr>
            </w:pPr>
          </w:p>
        </w:tc>
        <w:tc>
          <w:tcPr>
            <w:tcW w:w="2268" w:type="dxa"/>
            <w:vMerge w:val="continue"/>
            <w:tcBorders>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低于</w:t>
            </w:r>
            <w:r>
              <w:rPr>
                <w:rFonts w:ascii="宋体" w:hAnsi="宋体" w:cs="宋体"/>
                <w:color w:val="000000"/>
                <w:kern w:val="0"/>
                <w:sz w:val="18"/>
                <w:szCs w:val="18"/>
              </w:rPr>
              <w:t>5%</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center"/>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restart"/>
            <w:tcBorders>
              <w:top w:val="nil"/>
              <w:left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研发投入</w:t>
            </w:r>
          </w:p>
        </w:tc>
        <w:tc>
          <w:tcPr>
            <w:tcW w:w="709"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99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2268" w:type="dxa"/>
            <w:vMerge w:val="restart"/>
            <w:tcBorders>
              <w:top w:val="nil"/>
              <w:left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通过对受评主体最近一年度研发投入占总可支配收入的比例的统计，评估受评主体对创新的重视程度及支持力度。</w:t>
            </w:r>
          </w:p>
        </w:tc>
        <w:tc>
          <w:tcPr>
            <w:tcW w:w="1984" w:type="dxa"/>
            <w:tcBorders>
              <w:top w:val="nil"/>
              <w:left w:val="nil"/>
              <w:bottom w:val="single" w:color="auto" w:sz="8"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以上</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tcPr>
          <w:p>
            <w:pPr>
              <w:widowControl/>
              <w:jc w:val="left"/>
              <w:rPr>
                <w:rFonts w:ascii="宋体"/>
                <w:color w:val="000000"/>
                <w:kern w:val="0"/>
                <w:sz w:val="18"/>
                <w:szCs w:val="18"/>
              </w:rPr>
            </w:pPr>
          </w:p>
        </w:tc>
        <w:tc>
          <w:tcPr>
            <w:tcW w:w="851" w:type="dxa"/>
            <w:vMerge w:val="continue"/>
            <w:tcBorders>
              <w:left w:val="single" w:color="auto" w:sz="4" w:space="0"/>
              <w:right w:val="single" w:color="auto" w:sz="4" w:space="0"/>
            </w:tcBorders>
          </w:tcPr>
          <w:p>
            <w:pPr>
              <w:widowControl/>
              <w:jc w:val="left"/>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至</w:t>
            </w:r>
            <w:r>
              <w:rPr>
                <w:rFonts w:ascii="宋体" w:hAnsi="宋体" w:cs="宋体"/>
                <w:color w:val="000000"/>
                <w:kern w:val="0"/>
                <w:sz w:val="18"/>
                <w:szCs w:val="18"/>
              </w:rPr>
              <w:t>4%</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tcPr>
          <w:p>
            <w:pPr>
              <w:widowControl/>
              <w:jc w:val="left"/>
              <w:rPr>
                <w:rFonts w:ascii="宋体"/>
                <w:color w:val="000000"/>
                <w:kern w:val="0"/>
                <w:sz w:val="18"/>
                <w:szCs w:val="18"/>
              </w:rPr>
            </w:pPr>
          </w:p>
        </w:tc>
        <w:tc>
          <w:tcPr>
            <w:tcW w:w="851" w:type="dxa"/>
            <w:vMerge w:val="continue"/>
            <w:tcBorders>
              <w:left w:val="single" w:color="auto" w:sz="4" w:space="0"/>
              <w:right w:val="single" w:color="auto" w:sz="4" w:space="0"/>
            </w:tcBorders>
          </w:tcPr>
          <w:p>
            <w:pPr>
              <w:widowControl/>
              <w:jc w:val="left"/>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至</w:t>
            </w:r>
            <w:r>
              <w:rPr>
                <w:rFonts w:ascii="宋体" w:hAnsi="宋体" w:cs="宋体"/>
                <w:color w:val="000000"/>
                <w:kern w:val="0"/>
                <w:sz w:val="18"/>
                <w:szCs w:val="18"/>
              </w:rPr>
              <w:t>3%</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right w:val="single" w:color="auto" w:sz="4" w:space="0"/>
            </w:tcBorders>
          </w:tcPr>
          <w:p>
            <w:pPr>
              <w:widowControl/>
              <w:jc w:val="left"/>
              <w:rPr>
                <w:rFonts w:ascii="宋体"/>
                <w:color w:val="000000"/>
                <w:kern w:val="0"/>
                <w:sz w:val="18"/>
                <w:szCs w:val="18"/>
              </w:rPr>
            </w:pPr>
          </w:p>
        </w:tc>
        <w:tc>
          <w:tcPr>
            <w:tcW w:w="851" w:type="dxa"/>
            <w:vMerge w:val="continue"/>
            <w:tcBorders>
              <w:left w:val="single" w:color="auto" w:sz="4" w:space="0"/>
              <w:right w:val="single" w:color="auto" w:sz="4" w:space="0"/>
            </w:tcBorders>
          </w:tcPr>
          <w:p>
            <w:pPr>
              <w:widowControl/>
              <w:jc w:val="left"/>
              <w:rPr>
                <w:rFonts w:ascii="宋体"/>
                <w:color w:val="000000"/>
                <w:kern w:val="0"/>
                <w:sz w:val="18"/>
                <w:szCs w:val="18"/>
              </w:rPr>
            </w:pPr>
          </w:p>
        </w:tc>
        <w:tc>
          <w:tcPr>
            <w:tcW w:w="2268" w:type="dxa"/>
            <w:vMerge w:val="continue"/>
            <w:tcBorders>
              <w:left w:val="single" w:color="auto" w:sz="4"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至</w:t>
            </w:r>
            <w:r>
              <w:rPr>
                <w:rFonts w:ascii="宋体" w:hAnsi="宋体" w:cs="宋体"/>
                <w:color w:val="000000"/>
                <w:kern w:val="0"/>
                <w:sz w:val="18"/>
                <w:szCs w:val="18"/>
              </w:rPr>
              <w:t>2%</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993" w:type="dxa"/>
            <w:vMerge w:val="continue"/>
            <w:tcBorders>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kern w:val="0"/>
                <w:sz w:val="18"/>
                <w:szCs w:val="18"/>
              </w:rPr>
            </w:pPr>
          </w:p>
        </w:tc>
        <w:tc>
          <w:tcPr>
            <w:tcW w:w="1079" w:type="dxa"/>
            <w:vMerge w:val="continue"/>
            <w:tcBorders>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709" w:type="dxa"/>
            <w:vMerge w:val="continue"/>
            <w:tcBorders>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992" w:type="dxa"/>
            <w:vMerge w:val="continue"/>
            <w:tcBorders>
              <w:left w:val="single" w:color="auto" w:sz="4" w:space="0"/>
              <w:bottom w:val="single" w:color="000000" w:sz="8" w:space="0"/>
              <w:right w:val="single" w:color="auto" w:sz="4" w:space="0"/>
            </w:tcBorders>
          </w:tcPr>
          <w:p>
            <w:pPr>
              <w:widowControl/>
              <w:jc w:val="left"/>
              <w:rPr>
                <w:rFonts w:ascii="宋体"/>
                <w:color w:val="000000"/>
                <w:kern w:val="0"/>
                <w:sz w:val="18"/>
                <w:szCs w:val="18"/>
              </w:rPr>
            </w:pPr>
          </w:p>
        </w:tc>
        <w:tc>
          <w:tcPr>
            <w:tcW w:w="851" w:type="dxa"/>
            <w:vMerge w:val="continue"/>
            <w:tcBorders>
              <w:left w:val="single" w:color="auto" w:sz="4" w:space="0"/>
              <w:bottom w:val="single" w:color="000000" w:sz="8" w:space="0"/>
              <w:right w:val="single" w:color="auto" w:sz="4" w:space="0"/>
            </w:tcBorders>
          </w:tcPr>
          <w:p>
            <w:pPr>
              <w:widowControl/>
              <w:jc w:val="left"/>
              <w:rPr>
                <w:rFonts w:ascii="宋体"/>
                <w:color w:val="000000"/>
                <w:kern w:val="0"/>
                <w:sz w:val="18"/>
                <w:szCs w:val="18"/>
              </w:rPr>
            </w:pPr>
          </w:p>
        </w:tc>
        <w:tc>
          <w:tcPr>
            <w:tcW w:w="2268" w:type="dxa"/>
            <w:vMerge w:val="continue"/>
            <w:tcBorders>
              <w:left w:val="single" w:color="auto" w:sz="4" w:space="0"/>
              <w:bottom w:val="single" w:color="000000" w:sz="8" w:space="0"/>
              <w:right w:val="single" w:color="auto" w:sz="4" w:space="0"/>
            </w:tcBorders>
            <w:vAlign w:val="center"/>
          </w:tcPr>
          <w:p>
            <w:pPr>
              <w:widowControl/>
              <w:jc w:val="left"/>
              <w:rPr>
                <w:rFonts w:ascii="宋体"/>
                <w:color w:val="000000"/>
                <w:kern w:val="0"/>
                <w:sz w:val="18"/>
                <w:szCs w:val="18"/>
              </w:rPr>
            </w:pPr>
          </w:p>
        </w:tc>
        <w:tc>
          <w:tcPr>
            <w:tcW w:w="1984" w:type="dxa"/>
            <w:tcBorders>
              <w:top w:val="nil"/>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低于</w:t>
            </w:r>
            <w:r>
              <w:rPr>
                <w:rFonts w:ascii="宋体" w:hAnsi="宋体" w:cs="宋体"/>
                <w:color w:val="000000"/>
                <w:kern w:val="0"/>
                <w:sz w:val="18"/>
                <w:szCs w:val="18"/>
              </w:rPr>
              <w:t>1%</w:t>
            </w:r>
          </w:p>
        </w:tc>
        <w:tc>
          <w:tcPr>
            <w:tcW w:w="70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20</w:t>
            </w:r>
          </w:p>
        </w:tc>
      </w:tr>
    </w:tbl>
    <w:p>
      <w:pPr>
        <w:spacing w:before="156" w:beforeLines="50"/>
        <w:ind w:left="-2" w:leftChars="-136" w:hanging="284" w:hangingChars="118"/>
        <w:rPr>
          <w:rFonts w:ascii="宋体"/>
          <w:b/>
          <w:bCs/>
          <w:color w:val="000000"/>
          <w:sz w:val="24"/>
          <w:szCs w:val="24"/>
        </w:rPr>
      </w:pPr>
      <w:r>
        <w:rPr>
          <w:rFonts w:hint="eastAsia" w:ascii="宋体" w:hAnsi="宋体" w:cs="宋体"/>
          <w:b/>
          <w:bCs/>
          <w:color w:val="000000"/>
          <w:sz w:val="24"/>
          <w:szCs w:val="24"/>
        </w:rPr>
        <w:t>四、受评主体财务实力</w:t>
      </w:r>
    </w:p>
    <w:p>
      <w:pPr>
        <w:spacing w:line="360" w:lineRule="auto"/>
        <w:ind w:left="-850" w:leftChars="-405" w:right="-710" w:rightChars="-338" w:firstLine="525" w:firstLineChars="250"/>
        <w:rPr>
          <w:rFonts w:ascii="宋体"/>
          <w:color w:val="000000"/>
        </w:rPr>
      </w:pPr>
      <w:r>
        <w:rPr>
          <w:rFonts w:hint="eastAsia" w:ascii="宋体" w:hAnsi="宋体" w:cs="宋体"/>
          <w:color w:val="000000"/>
        </w:rPr>
        <w:t>财务实力分析指标体系由四部分构成，分别是企业竞争能力、企业经营效率、企业稳定性水平和企业信用状况。权重为</w:t>
      </w:r>
      <w:r>
        <w:rPr>
          <w:rFonts w:ascii="宋体" w:hAnsi="宋体" w:cs="宋体"/>
          <w:color w:val="000000"/>
        </w:rPr>
        <w:t>35%</w:t>
      </w:r>
      <w:r>
        <w:rPr>
          <w:rFonts w:hint="eastAsia" w:ascii="宋体" w:hAnsi="宋体" w:cs="宋体"/>
          <w:color w:val="000000"/>
        </w:rPr>
        <w:t>。</w:t>
      </w:r>
    </w:p>
    <w:tbl>
      <w:tblPr>
        <w:tblStyle w:val="17"/>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6"/>
        <w:gridCol w:w="1515"/>
        <w:gridCol w:w="891"/>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30" w:type="dxa"/>
            <w:gridSpan w:val="2"/>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一级指标</w:t>
            </w:r>
          </w:p>
        </w:tc>
        <w:tc>
          <w:tcPr>
            <w:tcW w:w="2406" w:type="dxa"/>
            <w:gridSpan w:val="2"/>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二级指标</w:t>
            </w:r>
          </w:p>
        </w:tc>
        <w:tc>
          <w:tcPr>
            <w:tcW w:w="5771" w:type="dxa"/>
            <w:vMerge w:val="restart"/>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评价标准及评价方法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94" w:type="dxa"/>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36" w:type="dxa"/>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1515" w:type="dxa"/>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891" w:type="dxa"/>
            <w:shd w:val="clear" w:color="auto"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5771" w:type="dxa"/>
            <w:vMerge w:val="continue"/>
            <w:vAlign w:val="center"/>
          </w:tcPr>
          <w:p>
            <w:pPr>
              <w:widowControl/>
              <w:jc w:val="left"/>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94" w:type="dxa"/>
            <w:vMerge w:val="restart"/>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财务实力</w:t>
            </w:r>
          </w:p>
        </w:tc>
        <w:tc>
          <w:tcPr>
            <w:tcW w:w="736" w:type="dxa"/>
            <w:vMerge w:val="restart"/>
            <w:vAlign w:val="center"/>
          </w:tcPr>
          <w:p>
            <w:pPr>
              <w:widowControl/>
              <w:jc w:val="center"/>
              <w:rPr>
                <w:rFonts w:ascii="宋体"/>
                <w:color w:val="000000"/>
                <w:kern w:val="0"/>
                <w:sz w:val="18"/>
                <w:szCs w:val="18"/>
              </w:rPr>
            </w:pPr>
            <w:r>
              <w:rPr>
                <w:rFonts w:ascii="宋体" w:hAnsi="宋体" w:cs="宋体"/>
                <w:color w:val="000000"/>
                <w:kern w:val="0"/>
                <w:sz w:val="18"/>
                <w:szCs w:val="18"/>
              </w:rPr>
              <w:t>35%</w:t>
            </w:r>
          </w:p>
        </w:tc>
        <w:tc>
          <w:tcPr>
            <w:tcW w:w="1515" w:type="dxa"/>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行业地位</w:t>
            </w:r>
          </w:p>
        </w:tc>
        <w:tc>
          <w:tcPr>
            <w:tcW w:w="891" w:type="dxa"/>
            <w:vAlign w:val="center"/>
          </w:tcPr>
          <w:p>
            <w:pPr>
              <w:widowControl/>
              <w:jc w:val="center"/>
              <w:rPr>
                <w:rFonts w:ascii="宋体"/>
                <w:color w:val="000000"/>
                <w:kern w:val="0"/>
                <w:sz w:val="18"/>
                <w:szCs w:val="18"/>
              </w:rPr>
            </w:pPr>
            <w:r>
              <w:rPr>
                <w:rFonts w:ascii="宋体" w:hAnsi="宋体" w:cs="宋体"/>
                <w:color w:val="000000"/>
                <w:kern w:val="0"/>
                <w:sz w:val="18"/>
                <w:szCs w:val="18"/>
              </w:rPr>
              <w:t>15%</w:t>
            </w:r>
          </w:p>
        </w:tc>
        <w:tc>
          <w:tcPr>
            <w:tcW w:w="5771" w:type="dxa"/>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反映受评主体行业竞争地位的企业规模因素、经营增长因素和运营效率因素等多重指标的分析，判别受评主体的行业地位。为准确反映受评主体的行业地位，还应对受评主体上述指标与其所处行业的相关指标标准值进行比较，以全面了解受评主体的行业地位。</w:t>
            </w:r>
            <w:r>
              <w:rPr>
                <w:rFonts w:ascii="宋体" w:hAnsi="宋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94" w:type="dxa"/>
            <w:vMerge w:val="continue"/>
            <w:vAlign w:val="center"/>
          </w:tcPr>
          <w:p>
            <w:pPr>
              <w:widowControl/>
              <w:jc w:val="center"/>
              <w:rPr>
                <w:rFonts w:ascii="宋体"/>
                <w:color w:val="000000"/>
                <w:kern w:val="0"/>
                <w:sz w:val="18"/>
                <w:szCs w:val="18"/>
              </w:rPr>
            </w:pPr>
          </w:p>
        </w:tc>
        <w:tc>
          <w:tcPr>
            <w:tcW w:w="736" w:type="dxa"/>
            <w:vMerge w:val="continue"/>
            <w:vAlign w:val="center"/>
          </w:tcPr>
          <w:p>
            <w:pPr>
              <w:widowControl/>
              <w:jc w:val="center"/>
              <w:rPr>
                <w:rFonts w:ascii="宋体"/>
                <w:color w:val="000000"/>
                <w:kern w:val="0"/>
                <w:sz w:val="18"/>
                <w:szCs w:val="18"/>
              </w:rPr>
            </w:pPr>
          </w:p>
        </w:tc>
        <w:tc>
          <w:tcPr>
            <w:tcW w:w="1515" w:type="dxa"/>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经营效率</w:t>
            </w:r>
          </w:p>
        </w:tc>
        <w:tc>
          <w:tcPr>
            <w:tcW w:w="891" w:type="dxa"/>
            <w:vAlign w:val="center"/>
          </w:tcPr>
          <w:p>
            <w:pPr>
              <w:widowControl/>
              <w:jc w:val="center"/>
              <w:rPr>
                <w:rFonts w:ascii="宋体"/>
                <w:color w:val="000000"/>
                <w:kern w:val="0"/>
                <w:sz w:val="18"/>
                <w:szCs w:val="18"/>
              </w:rPr>
            </w:pPr>
            <w:r>
              <w:rPr>
                <w:rFonts w:ascii="宋体" w:hAnsi="宋体" w:cs="宋体"/>
                <w:color w:val="000000"/>
                <w:kern w:val="0"/>
                <w:sz w:val="18"/>
                <w:szCs w:val="18"/>
              </w:rPr>
              <w:t>15%</w:t>
            </w:r>
          </w:p>
        </w:tc>
        <w:tc>
          <w:tcPr>
            <w:tcW w:w="5771" w:type="dxa"/>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影响受评主体成长性与稳定性等主要财务指标的分析，得出受评主体的经营效率水平。为准确反映受评主体的运营质量，还应对受评主体上述指标与其所处行业的相关指标标准值进行比较，以综合判断受评主体的经济效率及获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94" w:type="dxa"/>
            <w:vMerge w:val="continue"/>
            <w:vAlign w:val="center"/>
          </w:tcPr>
          <w:p>
            <w:pPr>
              <w:widowControl/>
              <w:jc w:val="center"/>
              <w:rPr>
                <w:rFonts w:ascii="宋体"/>
                <w:color w:val="000000"/>
                <w:kern w:val="0"/>
                <w:sz w:val="18"/>
                <w:szCs w:val="18"/>
              </w:rPr>
            </w:pPr>
          </w:p>
        </w:tc>
        <w:tc>
          <w:tcPr>
            <w:tcW w:w="736" w:type="dxa"/>
            <w:vMerge w:val="continue"/>
            <w:vAlign w:val="center"/>
          </w:tcPr>
          <w:p>
            <w:pPr>
              <w:widowControl/>
              <w:jc w:val="center"/>
              <w:rPr>
                <w:rFonts w:ascii="宋体"/>
                <w:color w:val="000000"/>
                <w:kern w:val="0"/>
                <w:sz w:val="18"/>
                <w:szCs w:val="18"/>
              </w:rPr>
            </w:pPr>
          </w:p>
        </w:tc>
        <w:tc>
          <w:tcPr>
            <w:tcW w:w="1515" w:type="dxa"/>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稳定性</w:t>
            </w:r>
          </w:p>
        </w:tc>
        <w:tc>
          <w:tcPr>
            <w:tcW w:w="891" w:type="dxa"/>
            <w:vAlign w:val="center"/>
          </w:tcPr>
          <w:p>
            <w:pPr>
              <w:widowControl/>
              <w:jc w:val="center"/>
              <w:rPr>
                <w:rFonts w:ascii="宋体"/>
                <w:color w:val="000000"/>
                <w:kern w:val="0"/>
                <w:sz w:val="18"/>
                <w:szCs w:val="18"/>
              </w:rPr>
            </w:pPr>
            <w:r>
              <w:rPr>
                <w:rFonts w:ascii="宋体" w:hAnsi="宋体" w:cs="宋体"/>
                <w:color w:val="000000"/>
                <w:kern w:val="0"/>
                <w:sz w:val="18"/>
                <w:szCs w:val="18"/>
              </w:rPr>
              <w:t>20%</w:t>
            </w:r>
          </w:p>
        </w:tc>
        <w:tc>
          <w:tcPr>
            <w:tcW w:w="5771" w:type="dxa"/>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通过对受评主体综合运营效率指标及本受评主体对运营控制、以及对外部经营环境变化的控制能力等综合指标的分析，判断受评主体运营的稳定性以及可持续性供给能力。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94" w:type="dxa"/>
            <w:vMerge w:val="continue"/>
            <w:vAlign w:val="center"/>
          </w:tcPr>
          <w:p>
            <w:pPr>
              <w:widowControl/>
              <w:jc w:val="center"/>
              <w:rPr>
                <w:rFonts w:ascii="宋体"/>
                <w:color w:val="000000"/>
                <w:kern w:val="0"/>
                <w:sz w:val="18"/>
                <w:szCs w:val="18"/>
              </w:rPr>
            </w:pPr>
          </w:p>
        </w:tc>
        <w:tc>
          <w:tcPr>
            <w:tcW w:w="736" w:type="dxa"/>
            <w:vMerge w:val="continue"/>
            <w:vAlign w:val="center"/>
          </w:tcPr>
          <w:p>
            <w:pPr>
              <w:widowControl/>
              <w:jc w:val="center"/>
              <w:rPr>
                <w:rFonts w:ascii="宋体"/>
                <w:color w:val="000000"/>
                <w:kern w:val="0"/>
                <w:sz w:val="18"/>
                <w:szCs w:val="18"/>
              </w:rPr>
            </w:pPr>
          </w:p>
        </w:tc>
        <w:tc>
          <w:tcPr>
            <w:tcW w:w="1515" w:type="dxa"/>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信用风险</w:t>
            </w:r>
          </w:p>
        </w:tc>
        <w:tc>
          <w:tcPr>
            <w:tcW w:w="891" w:type="dxa"/>
            <w:vAlign w:val="center"/>
          </w:tcPr>
          <w:p>
            <w:pPr>
              <w:widowControl/>
              <w:jc w:val="center"/>
              <w:rPr>
                <w:rFonts w:ascii="宋体"/>
                <w:color w:val="000000"/>
                <w:kern w:val="0"/>
                <w:sz w:val="18"/>
                <w:szCs w:val="18"/>
              </w:rPr>
            </w:pPr>
            <w:r>
              <w:rPr>
                <w:rFonts w:ascii="宋体" w:hAnsi="宋体" w:cs="宋体"/>
                <w:color w:val="000000"/>
                <w:kern w:val="0"/>
                <w:sz w:val="18"/>
                <w:szCs w:val="18"/>
              </w:rPr>
              <w:t>50%</w:t>
            </w:r>
          </w:p>
        </w:tc>
        <w:tc>
          <w:tcPr>
            <w:tcW w:w="5771" w:type="dxa"/>
            <w:vAlign w:val="center"/>
          </w:tcPr>
          <w:p>
            <w:pPr>
              <w:widowControl/>
              <w:jc w:val="left"/>
              <w:rPr>
                <w:rFonts w:ascii="宋体"/>
                <w:color w:val="000000"/>
                <w:kern w:val="0"/>
                <w:sz w:val="18"/>
                <w:szCs w:val="18"/>
              </w:rPr>
            </w:pPr>
            <w:r>
              <w:rPr>
                <w:rFonts w:hint="eastAsia" w:ascii="宋体" w:hAnsi="宋体" w:cs="宋体"/>
                <w:color w:val="000000"/>
                <w:kern w:val="0"/>
                <w:sz w:val="18"/>
                <w:szCs w:val="18"/>
              </w:rPr>
              <w:t>通过信用风险计量模型，选取影响受评主体偿付能力的主要财务指标进行分析，得出受评主体信用风险的临界值。</w:t>
            </w:r>
          </w:p>
        </w:tc>
      </w:tr>
    </w:tbl>
    <w:p>
      <w:pPr>
        <w:spacing w:before="156" w:beforeLines="50"/>
        <w:ind w:left="-2" w:leftChars="-136" w:hanging="284" w:hangingChars="118"/>
        <w:rPr>
          <w:rFonts w:ascii="宋体"/>
          <w:b/>
          <w:bCs/>
          <w:color w:val="000000"/>
          <w:sz w:val="24"/>
          <w:szCs w:val="24"/>
        </w:rPr>
      </w:pPr>
      <w:r>
        <w:rPr>
          <w:rFonts w:hint="eastAsia" w:ascii="宋体" w:hAnsi="宋体" w:cs="宋体"/>
          <w:b/>
          <w:bCs/>
          <w:color w:val="000000"/>
          <w:sz w:val="24"/>
          <w:szCs w:val="24"/>
        </w:rPr>
        <w:t>五、受评主体公共信用记录</w:t>
      </w:r>
    </w:p>
    <w:p>
      <w:pPr>
        <w:spacing w:line="360" w:lineRule="auto"/>
        <w:ind w:left="-850" w:leftChars="-405" w:right="-710" w:rightChars="-338" w:firstLine="525" w:firstLineChars="250"/>
        <w:rPr>
          <w:rFonts w:ascii="宋体"/>
          <w:color w:val="000000"/>
        </w:rPr>
      </w:pPr>
      <w:r>
        <w:rPr>
          <w:rFonts w:hint="eastAsia" w:ascii="宋体" w:hAnsi="宋体" w:cs="宋体"/>
          <w:color w:val="000000"/>
        </w:rPr>
        <w:t>公共信用记录包括正面公共信用记录和负面公共信用记录，正面公共信用记录为加分项，负面公共信用记录为减分项。权重为</w:t>
      </w:r>
      <w:r>
        <w:rPr>
          <w:rFonts w:ascii="宋体" w:hAnsi="宋体" w:cs="宋体"/>
          <w:color w:val="000000"/>
        </w:rPr>
        <w:t>15%</w:t>
      </w:r>
      <w:r>
        <w:rPr>
          <w:rFonts w:hint="eastAsia" w:ascii="宋体" w:hAnsi="宋体" w:cs="宋体"/>
          <w:color w:val="000000"/>
        </w:rPr>
        <w:t>。</w:t>
      </w:r>
    </w:p>
    <w:tbl>
      <w:tblPr>
        <w:tblStyle w:val="17"/>
        <w:tblW w:w="10216" w:type="dxa"/>
        <w:jc w:val="center"/>
        <w:tblLayout w:type="fixed"/>
        <w:tblCellMar>
          <w:top w:w="0" w:type="dxa"/>
          <w:left w:w="108" w:type="dxa"/>
          <w:bottom w:w="0" w:type="dxa"/>
          <w:right w:w="108" w:type="dxa"/>
        </w:tblCellMar>
      </w:tblPr>
      <w:tblGrid>
        <w:gridCol w:w="970"/>
        <w:gridCol w:w="732"/>
        <w:gridCol w:w="938"/>
        <w:gridCol w:w="689"/>
        <w:gridCol w:w="981"/>
        <w:gridCol w:w="646"/>
        <w:gridCol w:w="2699"/>
        <w:gridCol w:w="1701"/>
        <w:gridCol w:w="860"/>
      </w:tblGrid>
      <w:tr>
        <w:tblPrEx>
          <w:tblCellMar>
            <w:top w:w="0" w:type="dxa"/>
            <w:left w:w="108" w:type="dxa"/>
            <w:bottom w:w="0" w:type="dxa"/>
            <w:right w:w="108" w:type="dxa"/>
          </w:tblCellMar>
        </w:tblPrEx>
        <w:trPr>
          <w:trHeight w:val="20" w:hRule="atLeast"/>
          <w:jc w:val="center"/>
        </w:trPr>
        <w:tc>
          <w:tcPr>
            <w:tcW w:w="1702"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一级指标</w:t>
            </w:r>
          </w:p>
        </w:tc>
        <w:tc>
          <w:tcPr>
            <w:tcW w:w="1627"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二级指标</w:t>
            </w:r>
          </w:p>
        </w:tc>
        <w:tc>
          <w:tcPr>
            <w:tcW w:w="1627"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三级指标</w:t>
            </w:r>
          </w:p>
        </w:tc>
        <w:tc>
          <w:tcPr>
            <w:tcW w:w="2699"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指标说明</w:t>
            </w:r>
          </w:p>
        </w:tc>
        <w:tc>
          <w:tcPr>
            <w:tcW w:w="2561" w:type="dxa"/>
            <w:gridSpan w:val="2"/>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评价标准和得分</w:t>
            </w:r>
          </w:p>
        </w:tc>
      </w:tr>
      <w:tr>
        <w:tblPrEx>
          <w:tblCellMar>
            <w:top w:w="0" w:type="dxa"/>
            <w:left w:w="108" w:type="dxa"/>
            <w:bottom w:w="0" w:type="dxa"/>
            <w:right w:w="108" w:type="dxa"/>
          </w:tblCellMar>
        </w:tblPrEx>
        <w:trPr>
          <w:trHeight w:val="20" w:hRule="atLeast"/>
          <w:jc w:val="center"/>
        </w:trPr>
        <w:tc>
          <w:tcPr>
            <w:tcW w:w="970"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732"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938"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689"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981"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646" w:type="dxa"/>
            <w:tcBorders>
              <w:top w:val="nil"/>
              <w:left w:val="nil"/>
              <w:bottom w:val="single" w:color="auto" w:sz="4" w:space="0"/>
              <w:right w:val="single" w:color="auto" w:sz="4" w:space="0"/>
            </w:tcBorders>
            <w:shd w:val="clear" w:color="000000" w:fill="EEECE1"/>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权重</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18"/>
                <w:szCs w:val="18"/>
              </w:rPr>
            </w:pPr>
          </w:p>
        </w:tc>
        <w:tc>
          <w:tcPr>
            <w:tcW w:w="25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18"/>
                <w:szCs w:val="18"/>
              </w:rPr>
            </w:pPr>
          </w:p>
        </w:tc>
      </w:tr>
      <w:tr>
        <w:tblPrEx>
          <w:tblCellMar>
            <w:top w:w="0" w:type="dxa"/>
            <w:left w:w="108" w:type="dxa"/>
            <w:bottom w:w="0" w:type="dxa"/>
            <w:right w:w="108" w:type="dxa"/>
          </w:tblCellMar>
        </w:tblPrEx>
        <w:trPr>
          <w:trHeight w:val="20" w:hRule="atLeast"/>
          <w:jc w:val="center"/>
        </w:trPr>
        <w:tc>
          <w:tcPr>
            <w:tcW w:w="9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公共信用</w:t>
            </w:r>
          </w:p>
        </w:tc>
        <w:tc>
          <w:tcPr>
            <w:tcW w:w="7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15%</w:t>
            </w:r>
          </w:p>
        </w:tc>
        <w:tc>
          <w:tcPr>
            <w:tcW w:w="9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监管部门</w:t>
            </w:r>
          </w:p>
        </w:tc>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70%</w:t>
            </w:r>
          </w:p>
        </w:tc>
        <w:tc>
          <w:tcPr>
            <w:tcW w:w="9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奖励信息</w:t>
            </w:r>
          </w:p>
        </w:tc>
        <w:tc>
          <w:tcPr>
            <w:tcW w:w="6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50%</w:t>
            </w:r>
          </w:p>
        </w:tc>
        <w:tc>
          <w:tcPr>
            <w:tcW w:w="2699"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来自工商、质检、税务、海关、银行、证监会、协会等监管部门的奖励信息，属于加分项。</w:t>
            </w: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奖励信息数量</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条以上</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3~5</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80</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2~3</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60</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40</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cs="宋体"/>
                <w:color w:val="000000"/>
                <w:kern w:val="0"/>
                <w:sz w:val="18"/>
                <w:szCs w:val="18"/>
              </w:rPr>
              <w:t>0</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cs="宋体"/>
                <w:color w:val="000000"/>
                <w:kern w:val="0"/>
                <w:sz w:val="18"/>
                <w:szCs w:val="18"/>
              </w:rPr>
              <w:t>0</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处罚信息</w:t>
            </w:r>
          </w:p>
        </w:tc>
        <w:tc>
          <w:tcPr>
            <w:tcW w:w="6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50%</w:t>
            </w:r>
          </w:p>
        </w:tc>
        <w:tc>
          <w:tcPr>
            <w:tcW w:w="2699"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来自工商、质检、税务、海关、银行、证监会、协会等监管部门的处罚信息，属于减分项。</w:t>
            </w: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处罚信息数量</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条以上</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3~5</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-80</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2~3</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-60</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条</w:t>
            </w:r>
          </w:p>
        </w:tc>
        <w:tc>
          <w:tcPr>
            <w:tcW w:w="860"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-40</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c>
          <w:tcPr>
            <w:tcW w:w="860" w:type="dxa"/>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ascii="宋体" w:cs="宋体"/>
                <w:color w:val="000000"/>
                <w:kern w:val="0"/>
                <w:sz w:val="18"/>
                <w:szCs w:val="18"/>
              </w:rPr>
              <w:t>0</w:t>
            </w:r>
          </w:p>
        </w:tc>
      </w:tr>
      <w:tr>
        <w:tblPrEx>
          <w:tblCellMar>
            <w:top w:w="0" w:type="dxa"/>
            <w:left w:w="108" w:type="dxa"/>
            <w:bottom w:w="0" w:type="dxa"/>
            <w:right w:w="108" w:type="dxa"/>
          </w:tblCellMar>
        </w:tblPrEx>
        <w:trPr>
          <w:trHeight w:val="1112"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社会公益</w:t>
            </w:r>
          </w:p>
        </w:tc>
        <w:tc>
          <w:tcPr>
            <w:tcW w:w="68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20%</w:t>
            </w:r>
          </w:p>
        </w:tc>
        <w:tc>
          <w:tcPr>
            <w:tcW w:w="98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64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cs="宋体"/>
                <w:color w:val="000000"/>
                <w:kern w:val="0"/>
                <w:sz w:val="18"/>
                <w:szCs w:val="18"/>
              </w:rPr>
              <w:t>-</w:t>
            </w:r>
          </w:p>
        </w:tc>
        <w:tc>
          <w:tcPr>
            <w:tcW w:w="2699" w:type="dxa"/>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受评主体近三年进行社会公益活动情况（如向灾区捐赠），属于加分项。</w:t>
            </w:r>
          </w:p>
        </w:tc>
        <w:tc>
          <w:tcPr>
            <w:tcW w:w="2561" w:type="dxa"/>
            <w:gridSpan w:val="2"/>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每项可加</w:t>
            </w:r>
            <w:r>
              <w:rPr>
                <w:rFonts w:ascii="宋体" w:hAnsi="宋体" w:cs="宋体"/>
                <w:color w:val="000000"/>
                <w:kern w:val="0"/>
                <w:sz w:val="18"/>
                <w:szCs w:val="18"/>
              </w:rPr>
              <w:t>25</w:t>
            </w:r>
            <w:r>
              <w:rPr>
                <w:rFonts w:hint="eastAsia" w:ascii="宋体" w:hAnsi="宋体" w:cs="宋体"/>
                <w:color w:val="000000"/>
                <w:kern w:val="0"/>
                <w:sz w:val="18"/>
                <w:szCs w:val="18"/>
              </w:rPr>
              <w:t>分，最高</w:t>
            </w:r>
            <w:r>
              <w:rPr>
                <w:rFonts w:ascii="宋体" w:hAnsi="宋体" w:cs="宋体"/>
                <w:color w:val="000000"/>
                <w:kern w:val="0"/>
                <w:sz w:val="18"/>
                <w:szCs w:val="18"/>
              </w:rPr>
              <w:t>100</w:t>
            </w:r>
            <w:r>
              <w:rPr>
                <w:rFonts w:hint="eastAsia" w:ascii="宋体" w:hAnsi="宋体" w:cs="宋体"/>
                <w:color w:val="000000"/>
                <w:kern w:val="0"/>
                <w:sz w:val="18"/>
                <w:szCs w:val="18"/>
              </w:rPr>
              <w:t>分。若捐赠价值总额</w:t>
            </w:r>
            <w:r>
              <w:rPr>
                <w:rFonts w:ascii="宋体" w:hAnsi="宋体" w:cs="宋体"/>
                <w:color w:val="000000"/>
                <w:kern w:val="0"/>
                <w:sz w:val="18"/>
                <w:szCs w:val="18"/>
              </w:rPr>
              <w:t>50</w:t>
            </w:r>
            <w:r>
              <w:rPr>
                <w:rFonts w:hint="eastAsia" w:ascii="宋体" w:hAnsi="宋体" w:cs="宋体"/>
                <w:color w:val="000000"/>
                <w:kern w:val="0"/>
                <w:sz w:val="18"/>
                <w:szCs w:val="18"/>
              </w:rPr>
              <w:t>万元以上，可得</w:t>
            </w:r>
            <w:r>
              <w:rPr>
                <w:rFonts w:ascii="宋体" w:hAnsi="宋体" w:cs="宋体"/>
                <w:color w:val="000000"/>
                <w:kern w:val="0"/>
                <w:sz w:val="18"/>
                <w:szCs w:val="18"/>
              </w:rPr>
              <w:t>100</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restart"/>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失信记录</w:t>
            </w:r>
          </w:p>
        </w:tc>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10%</w:t>
            </w:r>
          </w:p>
        </w:tc>
        <w:tc>
          <w:tcPr>
            <w:tcW w:w="981" w:type="dxa"/>
            <w:vMerge w:val="restart"/>
            <w:tcBorders>
              <w:top w:val="nil"/>
              <w:left w:val="single" w:color="auto" w:sz="4" w:space="0"/>
              <w:bottom w:val="single" w:color="auto" w:sz="4" w:space="0"/>
              <w:right w:val="single" w:color="auto" w:sz="4" w:space="0"/>
            </w:tcBorders>
            <w:vAlign w:val="center"/>
          </w:tcPr>
          <w:p>
            <w:pPr>
              <w:jc w:val="center"/>
              <w:rPr>
                <w:rFonts w:ascii="宋体"/>
                <w:color w:val="000000"/>
              </w:rPr>
            </w:pPr>
            <w:r>
              <w:rPr>
                <w:rFonts w:ascii="宋体" w:cs="宋体"/>
                <w:color w:val="000000"/>
                <w:kern w:val="0"/>
                <w:sz w:val="18"/>
                <w:szCs w:val="18"/>
              </w:rPr>
              <w:t>-</w:t>
            </w:r>
          </w:p>
        </w:tc>
        <w:tc>
          <w:tcPr>
            <w:tcW w:w="646" w:type="dxa"/>
            <w:vMerge w:val="restart"/>
            <w:tcBorders>
              <w:top w:val="nil"/>
              <w:left w:val="single" w:color="auto" w:sz="4" w:space="0"/>
              <w:bottom w:val="single" w:color="auto" w:sz="4" w:space="0"/>
              <w:right w:val="single" w:color="auto" w:sz="4" w:space="0"/>
            </w:tcBorders>
            <w:vAlign w:val="center"/>
          </w:tcPr>
          <w:p>
            <w:pPr>
              <w:jc w:val="center"/>
              <w:rPr>
                <w:rFonts w:ascii="宋体"/>
                <w:color w:val="000000"/>
              </w:rPr>
            </w:pPr>
            <w:r>
              <w:rPr>
                <w:rFonts w:ascii="宋体" w:cs="宋体"/>
                <w:color w:val="000000"/>
                <w:kern w:val="0"/>
                <w:sz w:val="18"/>
                <w:szCs w:val="18"/>
              </w:rPr>
              <w:t>-</w:t>
            </w:r>
          </w:p>
        </w:tc>
        <w:tc>
          <w:tcPr>
            <w:tcW w:w="2699"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考核受评主体近三年是否处于司法和行政执法机构“失信被执行人名单”中且未采取补救措施。</w:t>
            </w:r>
          </w:p>
        </w:tc>
        <w:tc>
          <w:tcPr>
            <w:tcW w:w="170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存在失信行为</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-100</w:t>
            </w:r>
            <w:r>
              <w:rPr>
                <w:rFonts w:hint="eastAsia" w:ascii="宋体" w:hAnsi="宋体" w:cs="宋体"/>
                <w:color w:val="000000"/>
                <w:kern w:val="0"/>
                <w:sz w:val="18"/>
                <w:szCs w:val="18"/>
              </w:rPr>
              <w:t>（同时信用等级降为</w:t>
            </w:r>
            <w:r>
              <w:rPr>
                <w:rFonts w:ascii="宋体" w:hAnsi="宋体" w:cs="宋体"/>
                <w:color w:val="000000"/>
                <w:kern w:val="0"/>
                <w:sz w:val="18"/>
                <w:szCs w:val="18"/>
              </w:rPr>
              <w:t>B</w:t>
            </w:r>
            <w:r>
              <w:rPr>
                <w:rFonts w:hint="eastAsia" w:ascii="宋体" w:hAnsi="宋体" w:cs="宋体"/>
                <w:color w:val="000000"/>
                <w:kern w:val="0"/>
                <w:sz w:val="18"/>
                <w:szCs w:val="18"/>
              </w:rPr>
              <w:t>级或以下）</w:t>
            </w:r>
          </w:p>
        </w:tc>
      </w:tr>
      <w:tr>
        <w:tblPrEx>
          <w:tblCellMar>
            <w:top w:w="0" w:type="dxa"/>
            <w:left w:w="108" w:type="dxa"/>
            <w:bottom w:w="0" w:type="dxa"/>
            <w:right w:w="108" w:type="dxa"/>
          </w:tblCellMar>
        </w:tblPrEx>
        <w:trPr>
          <w:trHeight w:val="20" w:hRule="atLeast"/>
          <w:jc w:val="center"/>
        </w:trPr>
        <w:tc>
          <w:tcPr>
            <w:tcW w:w="9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7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c>
          <w:tcPr>
            <w:tcW w:w="170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不存在失信行为</w:t>
            </w:r>
          </w:p>
        </w:tc>
        <w:tc>
          <w:tcPr>
            <w:tcW w:w="8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p>
        </w:tc>
      </w:tr>
    </w:tbl>
    <w:p>
      <w:pPr>
        <w:rPr>
          <w:rFonts w:ascii="宋体"/>
          <w:color w:val="000000"/>
        </w:rPr>
      </w:pPr>
    </w:p>
    <w:p>
      <w:pPr>
        <w:rPr>
          <w:rFonts w:ascii="宋体"/>
          <w:color w:val="000000"/>
        </w:rPr>
      </w:pPr>
    </w:p>
    <w:p>
      <w:pPr>
        <w:rPr>
          <w:rFonts w:ascii="宋体"/>
          <w:color w:val="000000"/>
        </w:rPr>
      </w:pPr>
    </w:p>
    <w:p>
      <w:pPr>
        <w:widowControl/>
        <w:jc w:val="left"/>
        <w:rPr>
          <w:rFonts w:ascii="宋体" w:hAnsi="宋体" w:cs="宋体"/>
          <w:bCs/>
          <w:sz w:val="22"/>
          <w:szCs w:val="22"/>
        </w:rPr>
      </w:pPr>
      <w:bookmarkStart w:id="59" w:name="_GoBack"/>
      <w:bookmarkEnd w:id="59"/>
    </w:p>
    <w:sectPr>
      <w:footerReference r:id="rId3" w:type="default"/>
      <w:pgSz w:w="11906" w:h="16838"/>
      <w:pgMar w:top="1803" w:right="1440" w:bottom="1803"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26"/>
        <w:tab w:val="clear" w:pos="4153"/>
      </w:tabs>
    </w:pP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50"/>
      <w:suff w:val="nothing"/>
      <w:lvlText w:val="%1"/>
      <w:lvlJc w:val="left"/>
      <w:rPr>
        <w:rFonts w:hint="default" w:ascii="Times New Roman" w:hAnsi="Times New Roman"/>
        <w:b/>
        <w:bCs/>
        <w:i w:val="0"/>
        <w:iCs w:val="0"/>
        <w:sz w:val="21"/>
        <w:szCs w:val="21"/>
      </w:rPr>
    </w:lvl>
    <w:lvl w:ilvl="1" w:tentative="0">
      <w:start w:val="1"/>
      <w:numFmt w:val="decimal"/>
      <w:pStyle w:val="51"/>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53"/>
      <w:suff w:val="nothing"/>
      <w:lvlText w:val="%1%2.%3.%4　"/>
      <w:lvlJc w:val="left"/>
      <w:rPr>
        <w:rFonts w:hint="eastAsia" w:ascii="黑体" w:hAnsi="Times New Roman" w:eastAsia="黑体"/>
        <w:b w:val="0"/>
        <w:bCs w:val="0"/>
        <w:i w:val="0"/>
        <w:iCs w:val="0"/>
        <w:sz w:val="21"/>
        <w:szCs w:val="21"/>
      </w:rPr>
    </w:lvl>
    <w:lvl w:ilvl="4" w:tentative="0">
      <w:start w:val="1"/>
      <w:numFmt w:val="decimal"/>
      <w:pStyle w:val="54"/>
      <w:suff w:val="nothing"/>
      <w:lvlText w:val="%1%2.%3.%4.%5　"/>
      <w:lvlJc w:val="left"/>
      <w:rPr>
        <w:rFonts w:hint="eastAsia" w:ascii="黑体" w:hAnsi="Times New Roman" w:eastAsia="黑体"/>
        <w:b w:val="0"/>
        <w:bCs w:val="0"/>
        <w:i w:val="0"/>
        <w:iCs w:val="0"/>
        <w:sz w:val="21"/>
        <w:szCs w:val="21"/>
      </w:rPr>
    </w:lvl>
    <w:lvl w:ilvl="5" w:tentative="0">
      <w:start w:val="1"/>
      <w:numFmt w:val="decimal"/>
      <w:pStyle w:val="55"/>
      <w:suff w:val="nothing"/>
      <w:lvlText w:val="%1%2.%3.%4.%5.%6　"/>
      <w:lvlJc w:val="left"/>
      <w:rPr>
        <w:rFonts w:hint="eastAsia" w:ascii="黑体" w:hAnsi="Times New Roman" w:eastAsia="黑体"/>
        <w:b w:val="0"/>
        <w:bCs w:val="0"/>
        <w:i w:val="0"/>
        <w:iCs w:val="0"/>
        <w:sz w:val="21"/>
        <w:szCs w:val="21"/>
      </w:rPr>
    </w:lvl>
    <w:lvl w:ilvl="6" w:tentative="0">
      <w:start w:val="1"/>
      <w:numFmt w:val="decimal"/>
      <w:pStyle w:val="57"/>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6933334"/>
    <w:multiLevelType w:val="multilevel"/>
    <w:tmpl w:val="76933334"/>
    <w:lvl w:ilvl="0" w:tentative="0">
      <w:start w:val="1"/>
      <w:numFmt w:val="none"/>
      <w:pStyle w:val="58"/>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E5"/>
    <w:rsid w:val="000812F5"/>
    <w:rsid w:val="000B6A3A"/>
    <w:rsid w:val="000D1D45"/>
    <w:rsid w:val="000E18FA"/>
    <w:rsid w:val="00147059"/>
    <w:rsid w:val="00166DEE"/>
    <w:rsid w:val="00172A27"/>
    <w:rsid w:val="00176DA4"/>
    <w:rsid w:val="001902C4"/>
    <w:rsid w:val="001B1F91"/>
    <w:rsid w:val="001E1399"/>
    <w:rsid w:val="001E6D52"/>
    <w:rsid w:val="001F0EBA"/>
    <w:rsid w:val="001F0EDE"/>
    <w:rsid w:val="001F0FE5"/>
    <w:rsid w:val="001F6EE8"/>
    <w:rsid w:val="00201AF7"/>
    <w:rsid w:val="0020209A"/>
    <w:rsid w:val="00212210"/>
    <w:rsid w:val="00214F50"/>
    <w:rsid w:val="00254C36"/>
    <w:rsid w:val="002D1393"/>
    <w:rsid w:val="0030687F"/>
    <w:rsid w:val="00307A44"/>
    <w:rsid w:val="00330518"/>
    <w:rsid w:val="00330CD5"/>
    <w:rsid w:val="00342F3B"/>
    <w:rsid w:val="003548B6"/>
    <w:rsid w:val="003558E7"/>
    <w:rsid w:val="00372252"/>
    <w:rsid w:val="00382876"/>
    <w:rsid w:val="003866F1"/>
    <w:rsid w:val="0039231B"/>
    <w:rsid w:val="003A026B"/>
    <w:rsid w:val="003F3F20"/>
    <w:rsid w:val="00415CCC"/>
    <w:rsid w:val="00454FBC"/>
    <w:rsid w:val="0045592A"/>
    <w:rsid w:val="00467B22"/>
    <w:rsid w:val="0047401E"/>
    <w:rsid w:val="004801F8"/>
    <w:rsid w:val="00482FE2"/>
    <w:rsid w:val="00490F84"/>
    <w:rsid w:val="00520913"/>
    <w:rsid w:val="00537D9F"/>
    <w:rsid w:val="00553AF1"/>
    <w:rsid w:val="00580941"/>
    <w:rsid w:val="00593B33"/>
    <w:rsid w:val="005D1DE9"/>
    <w:rsid w:val="005D5D94"/>
    <w:rsid w:val="005E1CE9"/>
    <w:rsid w:val="00604925"/>
    <w:rsid w:val="006063EF"/>
    <w:rsid w:val="006213AB"/>
    <w:rsid w:val="00626F37"/>
    <w:rsid w:val="00653FF3"/>
    <w:rsid w:val="00661BC0"/>
    <w:rsid w:val="006766A3"/>
    <w:rsid w:val="006E7AAD"/>
    <w:rsid w:val="0070408D"/>
    <w:rsid w:val="007153A8"/>
    <w:rsid w:val="00720D38"/>
    <w:rsid w:val="007408F2"/>
    <w:rsid w:val="0076561F"/>
    <w:rsid w:val="0079008D"/>
    <w:rsid w:val="007A474A"/>
    <w:rsid w:val="007C575A"/>
    <w:rsid w:val="00800622"/>
    <w:rsid w:val="00807910"/>
    <w:rsid w:val="00816C90"/>
    <w:rsid w:val="008256A8"/>
    <w:rsid w:val="00826FC6"/>
    <w:rsid w:val="0084425F"/>
    <w:rsid w:val="00881D04"/>
    <w:rsid w:val="00894E66"/>
    <w:rsid w:val="008C7D24"/>
    <w:rsid w:val="009110DD"/>
    <w:rsid w:val="0091156A"/>
    <w:rsid w:val="0091688D"/>
    <w:rsid w:val="00916C54"/>
    <w:rsid w:val="009470EE"/>
    <w:rsid w:val="00967030"/>
    <w:rsid w:val="009A2919"/>
    <w:rsid w:val="009A644F"/>
    <w:rsid w:val="009A65D0"/>
    <w:rsid w:val="009B70C3"/>
    <w:rsid w:val="009E1959"/>
    <w:rsid w:val="009E624C"/>
    <w:rsid w:val="009F28C3"/>
    <w:rsid w:val="00A44288"/>
    <w:rsid w:val="00AB79D6"/>
    <w:rsid w:val="00AC5E08"/>
    <w:rsid w:val="00AE02F3"/>
    <w:rsid w:val="00AE2CE1"/>
    <w:rsid w:val="00B06FAB"/>
    <w:rsid w:val="00B21C6C"/>
    <w:rsid w:val="00B34794"/>
    <w:rsid w:val="00B504FF"/>
    <w:rsid w:val="00B94543"/>
    <w:rsid w:val="00BC686F"/>
    <w:rsid w:val="00BC7506"/>
    <w:rsid w:val="00BD1D61"/>
    <w:rsid w:val="00C14FEF"/>
    <w:rsid w:val="00C26540"/>
    <w:rsid w:val="00C2757C"/>
    <w:rsid w:val="00C35A1C"/>
    <w:rsid w:val="00C53EAB"/>
    <w:rsid w:val="00C575D6"/>
    <w:rsid w:val="00C765E3"/>
    <w:rsid w:val="00CB595E"/>
    <w:rsid w:val="00CC3C85"/>
    <w:rsid w:val="00CC4210"/>
    <w:rsid w:val="00CD35B3"/>
    <w:rsid w:val="00CF0893"/>
    <w:rsid w:val="00D444B6"/>
    <w:rsid w:val="00D61EE1"/>
    <w:rsid w:val="00D65869"/>
    <w:rsid w:val="00D85372"/>
    <w:rsid w:val="00DD1A02"/>
    <w:rsid w:val="00DD73C5"/>
    <w:rsid w:val="00DE3D26"/>
    <w:rsid w:val="00E2758E"/>
    <w:rsid w:val="00E332C4"/>
    <w:rsid w:val="00EB3FBB"/>
    <w:rsid w:val="00EC09C0"/>
    <w:rsid w:val="00EC27DD"/>
    <w:rsid w:val="00EE0B2D"/>
    <w:rsid w:val="00EF7500"/>
    <w:rsid w:val="00F3086E"/>
    <w:rsid w:val="00F50040"/>
    <w:rsid w:val="00F94A49"/>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8790FEA"/>
    <w:rsid w:val="1C1C44CA"/>
    <w:rsid w:val="26161A52"/>
    <w:rsid w:val="26464B35"/>
    <w:rsid w:val="2C3A644F"/>
    <w:rsid w:val="2CE4580F"/>
    <w:rsid w:val="2D224144"/>
    <w:rsid w:val="2D4959EF"/>
    <w:rsid w:val="2E1155BE"/>
    <w:rsid w:val="2EF07E0F"/>
    <w:rsid w:val="33D726C5"/>
    <w:rsid w:val="34256884"/>
    <w:rsid w:val="366B11A2"/>
    <w:rsid w:val="3ACA22B9"/>
    <w:rsid w:val="424F099D"/>
    <w:rsid w:val="42E65245"/>
    <w:rsid w:val="48D91909"/>
    <w:rsid w:val="49D81A90"/>
    <w:rsid w:val="4A890DB7"/>
    <w:rsid w:val="4B3611D1"/>
    <w:rsid w:val="4B9A5369"/>
    <w:rsid w:val="52A87CB7"/>
    <w:rsid w:val="53DA389F"/>
    <w:rsid w:val="56AD5B66"/>
    <w:rsid w:val="570C5732"/>
    <w:rsid w:val="58171A4D"/>
    <w:rsid w:val="58957C6F"/>
    <w:rsid w:val="58980823"/>
    <w:rsid w:val="5D611AE6"/>
    <w:rsid w:val="67460858"/>
    <w:rsid w:val="6C0A5C4B"/>
    <w:rsid w:val="6CC61311"/>
    <w:rsid w:val="6F282892"/>
    <w:rsid w:val="714E0AD1"/>
    <w:rsid w:val="71A4445D"/>
    <w:rsid w:val="72BD36F2"/>
    <w:rsid w:val="72DD7906"/>
    <w:rsid w:val="73DE4949"/>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locked/>
    <w:uiPriority w:val="99"/>
    <w:pPr>
      <w:spacing w:before="1"/>
      <w:ind w:left="904"/>
      <w:outlineLvl w:val="0"/>
    </w:pPr>
    <w:rPr>
      <w:b/>
      <w:bCs/>
      <w:sz w:val="32"/>
      <w:szCs w:val="32"/>
    </w:rPr>
  </w:style>
  <w:style w:type="paragraph" w:styleId="3">
    <w:name w:val="heading 2"/>
    <w:basedOn w:val="1"/>
    <w:next w:val="1"/>
    <w:link w:val="30"/>
    <w:unhideWhenUsed/>
    <w:qFormat/>
    <w:locked/>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qFormat/>
    <w:locked/>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3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6"/>
    <w:semiHidden/>
    <w:qFormat/>
    <w:uiPriority w:val="99"/>
    <w:rPr>
      <w:rFonts w:ascii="宋体" w:hAnsi="Calibri" w:cs="宋体"/>
      <w:sz w:val="18"/>
      <w:szCs w:val="18"/>
    </w:rPr>
  </w:style>
  <w:style w:type="paragraph" w:styleId="7">
    <w:name w:val="Body Text"/>
    <w:basedOn w:val="1"/>
    <w:link w:val="47"/>
    <w:qFormat/>
    <w:uiPriority w:val="99"/>
    <w:pPr>
      <w:ind w:left="258"/>
    </w:pPr>
    <w:rPr>
      <w:sz w:val="32"/>
      <w:szCs w:val="32"/>
    </w:rPr>
  </w:style>
  <w:style w:type="paragraph" w:styleId="8">
    <w:name w:val="toc 3"/>
    <w:basedOn w:val="1"/>
    <w:next w:val="1"/>
    <w:unhideWhenUsed/>
    <w:uiPriority w:val="99"/>
    <w:pPr>
      <w:ind w:left="840" w:leftChars="400"/>
    </w:pPr>
    <w:rPr>
      <w:rFonts w:ascii="Calibri" w:hAnsi="Calibri"/>
      <w:szCs w:val="22"/>
    </w:rPr>
  </w:style>
  <w:style w:type="paragraph" w:styleId="9">
    <w:name w:val="Date"/>
    <w:basedOn w:val="1"/>
    <w:next w:val="1"/>
    <w:link w:val="23"/>
    <w:qFormat/>
    <w:uiPriority w:val="99"/>
    <w:pPr>
      <w:ind w:left="100" w:leftChars="2500"/>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99"/>
    <w:rPr>
      <w:rFonts w:ascii="Calibri" w:hAnsi="Calibri"/>
      <w:szCs w:val="22"/>
    </w:rPr>
  </w:style>
  <w:style w:type="paragraph" w:styleId="14">
    <w:name w:val="toc 2"/>
    <w:basedOn w:val="1"/>
    <w:next w:val="1"/>
    <w:unhideWhenUsed/>
    <w:qFormat/>
    <w:uiPriority w:val="99"/>
    <w:pPr>
      <w:ind w:left="420" w:leftChars="200"/>
    </w:pPr>
    <w:rPr>
      <w:rFonts w:ascii="Calibri" w:hAnsi="Calibri"/>
      <w:szCs w:val="22"/>
    </w:rPr>
  </w:style>
  <w:style w:type="paragraph" w:styleId="15">
    <w:name w:val="HTML Preformatted"/>
    <w:basedOn w:val="1"/>
    <w:link w:val="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locked/>
    <w:uiPriority w:val="22"/>
    <w:rPr>
      <w:b/>
      <w:bCs/>
    </w:rPr>
  </w:style>
  <w:style w:type="character" w:styleId="21">
    <w:name w:val="page number"/>
    <w:uiPriority w:val="99"/>
    <w:rPr>
      <w:rFonts w:ascii="Times New Roman" w:hAnsi="Times New Roman" w:eastAsia="宋体" w:cs="Times New Roman"/>
      <w:sz w:val="18"/>
      <w:szCs w:val="18"/>
    </w:rPr>
  </w:style>
  <w:style w:type="character" w:styleId="22">
    <w:name w:val="Hyperlink"/>
    <w:basedOn w:val="19"/>
    <w:unhideWhenUsed/>
    <w:qFormat/>
    <w:uiPriority w:val="99"/>
    <w:rPr>
      <w:color w:val="0000FF"/>
      <w:u w:val="single"/>
    </w:rPr>
  </w:style>
  <w:style w:type="character" w:customStyle="1" w:styleId="23">
    <w:name w:val="日期 Char"/>
    <w:basedOn w:val="19"/>
    <w:link w:val="9"/>
    <w:qFormat/>
    <w:uiPriority w:val="99"/>
    <w:rPr>
      <w:szCs w:val="21"/>
    </w:rPr>
  </w:style>
  <w:style w:type="character" w:customStyle="1" w:styleId="24">
    <w:name w:val="批注框文本 Char"/>
    <w:basedOn w:val="19"/>
    <w:link w:val="10"/>
    <w:qFormat/>
    <w:uiPriority w:val="99"/>
    <w:rPr>
      <w:sz w:val="0"/>
      <w:szCs w:val="0"/>
    </w:rPr>
  </w:style>
  <w:style w:type="character" w:customStyle="1" w:styleId="25">
    <w:name w:val="页脚 Char"/>
    <w:basedOn w:val="19"/>
    <w:link w:val="11"/>
    <w:qFormat/>
    <w:locked/>
    <w:uiPriority w:val="99"/>
    <w:rPr>
      <w:kern w:val="2"/>
      <w:sz w:val="18"/>
      <w:szCs w:val="18"/>
    </w:rPr>
  </w:style>
  <w:style w:type="character" w:customStyle="1" w:styleId="26">
    <w:name w:val="页眉 Char"/>
    <w:basedOn w:val="19"/>
    <w:link w:val="12"/>
    <w:qFormat/>
    <w:locked/>
    <w:uiPriority w:val="99"/>
    <w:rPr>
      <w:kern w:val="2"/>
      <w:sz w:val="18"/>
      <w:szCs w:val="18"/>
    </w:rPr>
  </w:style>
  <w:style w:type="character" w:customStyle="1" w:styleId="27">
    <w:name w:val="HTML 预设格式 Char"/>
    <w:basedOn w:val="19"/>
    <w:link w:val="15"/>
    <w:qFormat/>
    <w:uiPriority w:val="99"/>
    <w:rPr>
      <w:rFonts w:ascii="Courier New" w:hAnsi="Courier New" w:cs="Courier New"/>
      <w:sz w:val="20"/>
      <w:szCs w:val="20"/>
    </w:rPr>
  </w:style>
  <w:style w:type="paragraph" w:customStyle="1" w:styleId="28">
    <w:name w:val="Table Paragraph"/>
    <w:basedOn w:val="1"/>
    <w:qFormat/>
    <w:uiPriority w:val="1"/>
    <w:rPr>
      <w:rFonts w:ascii="宋体" w:hAnsi="宋体" w:cs="宋体"/>
    </w:rPr>
  </w:style>
  <w:style w:type="table" w:customStyle="1" w:styleId="29">
    <w:name w:val="Table Normal"/>
    <w:semiHidden/>
    <w:unhideWhenUsed/>
    <w:qFormat/>
    <w:uiPriority w:val="2"/>
    <w:tblPr>
      <w:tblCellMar>
        <w:top w:w="0" w:type="dxa"/>
        <w:left w:w="0" w:type="dxa"/>
        <w:bottom w:w="0" w:type="dxa"/>
        <w:right w:w="0" w:type="dxa"/>
      </w:tblCellMar>
    </w:tblPr>
  </w:style>
  <w:style w:type="character" w:customStyle="1" w:styleId="30">
    <w:name w:val="标题 2 Char"/>
    <w:basedOn w:val="19"/>
    <w:link w:val="3"/>
    <w:qFormat/>
    <w:uiPriority w:val="99"/>
    <w:rPr>
      <w:rFonts w:asciiTheme="majorHAnsi" w:hAnsiTheme="majorHAnsi" w:eastAsiaTheme="majorEastAsia" w:cstheme="majorBidi"/>
      <w:b/>
      <w:bCs/>
      <w:kern w:val="2"/>
      <w:sz w:val="32"/>
      <w:szCs w:val="32"/>
    </w:rPr>
  </w:style>
  <w:style w:type="character" w:customStyle="1" w:styleId="31">
    <w:name w:val="标题 4 Char"/>
    <w:basedOn w:val="19"/>
    <w:link w:val="5"/>
    <w:semiHidden/>
    <w:qFormat/>
    <w:uiPriority w:val="0"/>
    <w:rPr>
      <w:rFonts w:asciiTheme="majorHAnsi" w:hAnsiTheme="majorHAnsi" w:eastAsiaTheme="majorEastAsia" w:cstheme="majorBidi"/>
      <w:b/>
      <w:bCs/>
      <w:kern w:val="2"/>
      <w:sz w:val="28"/>
      <w:szCs w:val="28"/>
    </w:rPr>
  </w:style>
  <w:style w:type="character" w:customStyle="1" w:styleId="32">
    <w:name w:val="jiathis_txt"/>
    <w:basedOn w:val="19"/>
    <w:qFormat/>
    <w:uiPriority w:val="0"/>
  </w:style>
  <w:style w:type="character" w:customStyle="1" w:styleId="33">
    <w:name w:val="yi"/>
    <w:basedOn w:val="19"/>
    <w:qFormat/>
    <w:uiPriority w:val="0"/>
  </w:style>
  <w:style w:type="character" w:customStyle="1" w:styleId="34">
    <w:name w:val="hover"/>
    <w:basedOn w:val="19"/>
    <w:qFormat/>
    <w:uiPriority w:val="0"/>
  </w:style>
  <w:style w:type="paragraph" w:customStyle="1" w:styleId="35">
    <w:name w:val="HTML Top of Form"/>
    <w:basedOn w:val="1"/>
    <w:next w:val="1"/>
    <w:link w:val="3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36">
    <w:name w:val="z-窗体顶端 Char"/>
    <w:basedOn w:val="19"/>
    <w:link w:val="35"/>
    <w:semiHidden/>
    <w:qFormat/>
    <w:uiPriority w:val="99"/>
    <w:rPr>
      <w:rFonts w:ascii="Arial" w:hAnsi="Arial" w:cs="Arial"/>
      <w:vanish/>
      <w:sz w:val="16"/>
      <w:szCs w:val="16"/>
    </w:rPr>
  </w:style>
  <w:style w:type="paragraph" w:customStyle="1" w:styleId="37">
    <w:name w:val="HTML Bottom of Form"/>
    <w:basedOn w:val="1"/>
    <w:next w:val="1"/>
    <w:link w:val="3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38">
    <w:name w:val="z-窗体底端 Char"/>
    <w:basedOn w:val="19"/>
    <w:link w:val="37"/>
    <w:semiHidden/>
    <w:qFormat/>
    <w:uiPriority w:val="99"/>
    <w:rPr>
      <w:rFonts w:ascii="Arial" w:hAnsi="Arial" w:cs="Arial"/>
      <w:vanish/>
      <w:sz w:val="16"/>
      <w:szCs w:val="16"/>
    </w:rPr>
  </w:style>
  <w:style w:type="character" w:customStyle="1" w:styleId="39">
    <w:name w:val="moren"/>
    <w:basedOn w:val="19"/>
    <w:qFormat/>
    <w:uiPriority w:val="0"/>
  </w:style>
  <w:style w:type="character" w:customStyle="1" w:styleId="40">
    <w:name w:val="huaguo"/>
    <w:basedOn w:val="19"/>
    <w:qFormat/>
    <w:uiPriority w:val="0"/>
  </w:style>
  <w:style w:type="character" w:customStyle="1" w:styleId="41">
    <w:name w:val="标题 3 Char"/>
    <w:basedOn w:val="19"/>
    <w:link w:val="4"/>
    <w:qFormat/>
    <w:uiPriority w:val="99"/>
    <w:rPr>
      <w:rFonts w:ascii="Calibri" w:hAnsi="Calibri"/>
      <w:b/>
      <w:bCs/>
      <w:kern w:val="2"/>
      <w:sz w:val="32"/>
      <w:szCs w:val="32"/>
    </w:rPr>
  </w:style>
  <w:style w:type="character" w:customStyle="1" w:styleId="42">
    <w:name w:val="标题 1 Char"/>
    <w:link w:val="2"/>
    <w:qFormat/>
    <w:uiPriority w:val="99"/>
    <w:rPr>
      <w:b/>
      <w:bCs/>
      <w:kern w:val="2"/>
      <w:sz w:val="32"/>
      <w:szCs w:val="32"/>
    </w:rPr>
  </w:style>
  <w:style w:type="paragraph" w:styleId="43">
    <w:name w:val="List Paragraph"/>
    <w:basedOn w:val="1"/>
    <w:qFormat/>
    <w:uiPriority w:val="34"/>
    <w:pPr>
      <w:ind w:firstLine="420" w:firstLineChars="200"/>
    </w:pPr>
    <w:rPr>
      <w:rFonts w:ascii="Calibri" w:hAnsi="Calibri"/>
      <w:szCs w:val="22"/>
    </w:rPr>
  </w:style>
  <w:style w:type="character" w:customStyle="1" w:styleId="44">
    <w:name w:val="标题 2 字符"/>
    <w:qFormat/>
    <w:uiPriority w:val="9"/>
    <w:rPr>
      <w:rFonts w:ascii="等线 Light" w:hAnsi="等线 Light" w:eastAsia="等线 Light" w:cs="Times New Roman"/>
      <w:b/>
      <w:bCs/>
      <w:kern w:val="2"/>
      <w:sz w:val="32"/>
      <w:szCs w:val="32"/>
    </w:rPr>
  </w:style>
  <w:style w:type="paragraph" w:customStyle="1" w:styleId="45">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46">
    <w:name w:val="文档结构图 Char"/>
    <w:basedOn w:val="19"/>
    <w:link w:val="6"/>
    <w:semiHidden/>
    <w:qFormat/>
    <w:uiPriority w:val="99"/>
    <w:rPr>
      <w:rFonts w:ascii="宋体" w:hAnsi="Calibri" w:cs="宋体"/>
      <w:kern w:val="2"/>
      <w:sz w:val="18"/>
      <w:szCs w:val="18"/>
    </w:rPr>
  </w:style>
  <w:style w:type="character" w:customStyle="1" w:styleId="47">
    <w:name w:val="正文文本 Char"/>
    <w:link w:val="7"/>
    <w:qFormat/>
    <w:locked/>
    <w:uiPriority w:val="99"/>
    <w:rPr>
      <w:kern w:val="2"/>
      <w:sz w:val="32"/>
      <w:szCs w:val="32"/>
    </w:rPr>
  </w:style>
  <w:style w:type="paragraph" w:customStyle="1" w:styleId="48">
    <w:name w:val="列出段落1"/>
    <w:basedOn w:val="1"/>
    <w:qFormat/>
    <w:uiPriority w:val="99"/>
    <w:pPr>
      <w:ind w:firstLine="420" w:firstLineChars="200"/>
    </w:pPr>
  </w:style>
  <w:style w:type="paragraph" w:customStyle="1" w:styleId="49">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1">
    <w:name w:val="章标题"/>
    <w:next w:val="49"/>
    <w:qFormat/>
    <w:uiPriority w:val="99"/>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52">
    <w:name w:val="一级条标题"/>
    <w:next w:val="49"/>
    <w:qFormat/>
    <w:uiPriority w:val="99"/>
    <w:pPr>
      <w:numPr>
        <w:ilvl w:val="2"/>
        <w:numId w:val="1"/>
      </w:numPr>
      <w:outlineLvl w:val="2"/>
    </w:pPr>
    <w:rPr>
      <w:rFonts w:ascii="Times New Roman" w:hAnsi="Times New Roman" w:eastAsia="黑体" w:cs="Times New Roman"/>
      <w:sz w:val="21"/>
      <w:szCs w:val="21"/>
      <w:lang w:val="en-US" w:eastAsia="zh-CN" w:bidi="ar-SA"/>
    </w:rPr>
  </w:style>
  <w:style w:type="paragraph" w:customStyle="1" w:styleId="53">
    <w:name w:val="二级条标题"/>
    <w:basedOn w:val="52"/>
    <w:next w:val="49"/>
    <w:qFormat/>
    <w:uiPriority w:val="99"/>
    <w:pPr>
      <w:numPr>
        <w:ilvl w:val="3"/>
      </w:numPr>
      <w:outlineLvl w:val="3"/>
    </w:pPr>
  </w:style>
  <w:style w:type="paragraph" w:customStyle="1" w:styleId="54">
    <w:name w:val="三级条标题"/>
    <w:basedOn w:val="53"/>
    <w:next w:val="49"/>
    <w:qFormat/>
    <w:uiPriority w:val="99"/>
    <w:pPr>
      <w:numPr>
        <w:ilvl w:val="4"/>
      </w:numPr>
      <w:outlineLvl w:val="4"/>
    </w:pPr>
  </w:style>
  <w:style w:type="paragraph" w:customStyle="1" w:styleId="55">
    <w:name w:val="四级条标题"/>
    <w:basedOn w:val="54"/>
    <w:next w:val="49"/>
    <w:qFormat/>
    <w:uiPriority w:val="99"/>
    <w:pPr>
      <w:numPr>
        <w:ilvl w:val="5"/>
      </w:numPr>
      <w:outlineLvl w:val="5"/>
    </w:pPr>
  </w:style>
  <w:style w:type="character" w:customStyle="1" w:styleId="56">
    <w:name w:val="content1"/>
    <w:qFormat/>
    <w:uiPriority w:val="99"/>
    <w:rPr>
      <w:sz w:val="17"/>
      <w:szCs w:val="17"/>
    </w:rPr>
  </w:style>
  <w:style w:type="paragraph" w:customStyle="1" w:styleId="57">
    <w:name w:val="五级条标题"/>
    <w:basedOn w:val="55"/>
    <w:next w:val="49"/>
    <w:qFormat/>
    <w:uiPriority w:val="99"/>
    <w:pPr>
      <w:numPr>
        <w:ilvl w:val="6"/>
      </w:numPr>
      <w:outlineLvl w:val="6"/>
    </w:pPr>
  </w:style>
  <w:style w:type="paragraph" w:customStyle="1" w:styleId="58">
    <w:name w:val="列项——（一级）"/>
    <w:qFormat/>
    <w:uiPriority w:val="99"/>
    <w:pPr>
      <w:widowControl w:val="0"/>
      <w:numPr>
        <w:ilvl w:val="0"/>
        <w:numId w:val="2"/>
      </w:numPr>
      <w:jc w:val="both"/>
    </w:pPr>
    <w:rPr>
      <w:rFonts w:ascii="宋体" w:hAnsi="Times New Roman" w:eastAsia="宋体" w:cs="宋体"/>
      <w:sz w:val="21"/>
      <w:szCs w:val="21"/>
      <w:lang w:val="en-US" w:eastAsia="zh-CN" w:bidi="ar-SA"/>
    </w:rPr>
  </w:style>
  <w:style w:type="paragraph" w:customStyle="1" w:styleId="59">
    <w:name w:val="TOC 标题1"/>
    <w:basedOn w:val="2"/>
    <w:next w:val="1"/>
    <w:qFormat/>
    <w:uiPriority w:val="9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60">
    <w:name w:val="无间隔1"/>
    <w:link w:val="6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1">
    <w:name w:val="No Spacing Char"/>
    <w:link w:val="60"/>
    <w:qFormat/>
    <w:locked/>
    <w:uiPriority w:val="99"/>
    <w:rPr>
      <w:kern w:val="2"/>
      <w:sz w:val="21"/>
      <w:szCs w:val="21"/>
    </w:rPr>
  </w:style>
  <w:style w:type="character" w:customStyle="1" w:styleId="62">
    <w:name w:val="line-height"/>
    <w:basedOn w:val="19"/>
    <w:qFormat/>
    <w:uiPriority w:val="99"/>
  </w:style>
  <w:style w:type="paragraph" w:customStyle="1" w:styleId="6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64">
    <w:name w:val="封面标准号2"/>
    <w:basedOn w:val="1"/>
    <w:qFormat/>
    <w:uiPriority w:val="9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5">
    <w:name w:val="实施日期"/>
    <w:basedOn w:val="1"/>
    <w:qFormat/>
    <w:uiPriority w:val="99"/>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66">
    <w:name w:val="图表脚注"/>
    <w:next w:val="1"/>
    <w:qFormat/>
    <w:uiPriority w:val="99"/>
    <w:pPr>
      <w:spacing w:after="200" w:line="276" w:lineRule="auto"/>
      <w:ind w:left="200" w:leftChars="200" w:hanging="100" w:hangingChars="100"/>
      <w:jc w:val="both"/>
    </w:pPr>
    <w:rPr>
      <w:rFonts w:ascii="宋体" w:hAnsi="Calibri" w:eastAsia="宋体" w:cs="宋体"/>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EF445-E035-4691-A311-03999B7A92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4565</Words>
  <Characters>26022</Characters>
  <Lines>216</Lines>
  <Paragraphs>61</Paragraphs>
  <TotalTime>48</TotalTime>
  <ScaleCrop>false</ScaleCrop>
  <LinksUpToDate>false</LinksUpToDate>
  <CharactersWithSpaces>30526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2022-04-13T07:44:00Z</cp:lastPrinted>
  <dcterms:modified xsi:type="dcterms:W3CDTF">2022-04-14T08:56:25Z</dcterms:modified>
  <dc:title>关于召开2013年省装协工程分会会长会议的通知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09208FBB39414DE08CB624BCB913B446</vt:lpwstr>
  </property>
</Properties>
</file>